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021E" w:rsidRDefault="00106F61" w:rsidP="00ED1D9E">
      <w:r>
        <w:t>DPC/P5.4</w:t>
      </w:r>
    </w:p>
    <w:p w:rsidR="00106F61" w:rsidRDefault="00106F61" w:rsidP="00ED1D9E">
      <w:r>
        <w:t>ACROSS GOVERNMENT POLICY</w:t>
      </w:r>
    </w:p>
    <w:p w:rsidR="0017021E" w:rsidRPr="00B570AC" w:rsidRDefault="006641F4" w:rsidP="00ED1D9E">
      <w:pPr>
        <w:pStyle w:val="Title"/>
      </w:pPr>
      <w:r>
        <w:t xml:space="preserve">DRAFT </w:t>
      </w:r>
      <w:r w:rsidR="00106F61">
        <w:t>Online Accessibility Policy</w:t>
      </w:r>
    </w:p>
    <w:p w:rsidR="0017021E" w:rsidRPr="00340461" w:rsidRDefault="0017021E" w:rsidP="009E282E">
      <w:pPr>
        <w:pStyle w:val="Heading1"/>
      </w:pPr>
      <w:r w:rsidRPr="00340461">
        <w:t>1</w:t>
      </w:r>
      <w:r w:rsidR="00106F61">
        <w:tab/>
        <w:t>Purpose</w:t>
      </w:r>
    </w:p>
    <w:p w:rsidR="00106F61" w:rsidRPr="00ED1D9E" w:rsidRDefault="00106F61" w:rsidP="00ED1D9E">
      <w:bookmarkStart w:id="0" w:name="_Toc521410875"/>
      <w:r w:rsidRPr="00ED1D9E">
        <w:t>The purpose of the Online Accessibility Policy is to define accessibility requirements for all content and functionality of SA Government’s online presence.</w:t>
      </w:r>
    </w:p>
    <w:p w:rsidR="00106F61" w:rsidRDefault="00106F61" w:rsidP="009E282E">
      <w:pPr>
        <w:pStyle w:val="Heading1"/>
      </w:pPr>
      <w:r>
        <w:t>2</w:t>
      </w:r>
      <w:r>
        <w:tab/>
        <w:t>Scope</w:t>
      </w:r>
    </w:p>
    <w:p w:rsidR="00106F61" w:rsidRPr="004928E0" w:rsidRDefault="00106F61" w:rsidP="00ED1D9E">
      <w:r w:rsidRPr="004928E0">
        <w:t xml:space="preserve">This policy applies to all SA Government </w:t>
      </w:r>
      <w:r>
        <w:t>online applications</w:t>
      </w:r>
      <w:r w:rsidRPr="004928E0">
        <w:t xml:space="preserve"> including:</w:t>
      </w:r>
    </w:p>
    <w:p w:rsidR="00106F61" w:rsidRPr="004928E0" w:rsidRDefault="00106F61" w:rsidP="00ED1D9E">
      <w:pPr>
        <w:pStyle w:val="ListParagraph"/>
      </w:pPr>
      <w:r>
        <w:t>Public-</w:t>
      </w:r>
      <w:r w:rsidRPr="004928E0">
        <w:t>facing websites</w:t>
      </w:r>
    </w:p>
    <w:p w:rsidR="00106F61" w:rsidRDefault="00106F61" w:rsidP="00ED1D9E">
      <w:pPr>
        <w:pStyle w:val="ListParagraph"/>
      </w:pPr>
      <w:r w:rsidRPr="004928E0">
        <w:t>Intranets (accessed within S</w:t>
      </w:r>
      <w:r>
        <w:t>A Government)</w:t>
      </w:r>
    </w:p>
    <w:p w:rsidR="00106F61" w:rsidRDefault="00106F61" w:rsidP="00ED1D9E">
      <w:pPr>
        <w:pStyle w:val="ListParagraph"/>
      </w:pPr>
      <w:r>
        <w:t>Public-facing native apps</w:t>
      </w:r>
    </w:p>
    <w:p w:rsidR="00106F61" w:rsidRDefault="00106F61" w:rsidP="00ED1D9E">
      <w:pPr>
        <w:pStyle w:val="ListParagraph"/>
      </w:pPr>
      <w:r>
        <w:t>Portable Document Format (PDF)</w:t>
      </w:r>
    </w:p>
    <w:p w:rsidR="00106F61" w:rsidRDefault="00106F61" w:rsidP="00ED1D9E">
      <w:pPr>
        <w:pStyle w:val="ListParagraph"/>
      </w:pPr>
      <w:r>
        <w:t>Online forms and surveys (public-</w:t>
      </w:r>
      <w:r w:rsidRPr="004928E0">
        <w:t>facing</w:t>
      </w:r>
      <w:r>
        <w:t xml:space="preserve"> and </w:t>
      </w:r>
      <w:r w:rsidRPr="004928E0">
        <w:t>accessed within S</w:t>
      </w:r>
      <w:r>
        <w:t>A Government)</w:t>
      </w:r>
    </w:p>
    <w:p w:rsidR="00106F61" w:rsidRPr="00A7224D" w:rsidRDefault="00106F61" w:rsidP="00ED1D9E">
      <w:pPr>
        <w:pStyle w:val="ListParagraph"/>
      </w:pPr>
      <w:r>
        <w:t>Non-web-based software</w:t>
      </w:r>
    </w:p>
    <w:p w:rsidR="00106F61" w:rsidRPr="00916E5A" w:rsidRDefault="00106F61" w:rsidP="00ED1D9E">
      <w:r w:rsidRPr="004928E0">
        <w:t>This policy a</w:t>
      </w:r>
      <w:r>
        <w:t xml:space="preserve">pplies to SA Government the digital content outlined </w:t>
      </w:r>
      <w:r w:rsidRPr="003A1A77">
        <w:t>under "2. Scope"</w:t>
      </w:r>
      <w:r w:rsidRPr="004928E0">
        <w:t xml:space="preserve"> regardless of whether they are provided solely by the SA Government</w:t>
      </w:r>
      <w:r>
        <w:t>,</w:t>
      </w:r>
      <w:r w:rsidRPr="004928E0">
        <w:t xml:space="preserve"> or are partly or wholly provided by external parties </w:t>
      </w:r>
      <w:r>
        <w:t>on behalf of the SA Government.</w:t>
      </w:r>
    </w:p>
    <w:p w:rsidR="00106F61" w:rsidRDefault="00106F61" w:rsidP="009E282E">
      <w:pPr>
        <w:pStyle w:val="Heading1"/>
      </w:pPr>
      <w:r>
        <w:t>3</w:t>
      </w:r>
      <w:r>
        <w:tab/>
        <w:t>Legislation</w:t>
      </w:r>
    </w:p>
    <w:bookmarkEnd w:id="0"/>
    <w:p w:rsidR="0017021E" w:rsidRDefault="00106F61" w:rsidP="00ED1D9E">
      <w:pPr>
        <w:pStyle w:val="Heading2"/>
      </w:pPr>
      <w:r>
        <w:t>3.1</w:t>
      </w:r>
      <w:r>
        <w:tab/>
        <w:t>Commonwealth Legislation</w:t>
      </w:r>
    </w:p>
    <w:p w:rsidR="00106F61" w:rsidRPr="00560614" w:rsidRDefault="00106F61" w:rsidP="00ED1D9E">
      <w:r w:rsidRPr="00A869C2">
        <w:t xml:space="preserve">The Commonwealth </w:t>
      </w:r>
      <w:hyperlink r:id="rId9" w:history="1">
        <w:r w:rsidR="00E17C70" w:rsidRPr="00641532">
          <w:rPr>
            <w:rStyle w:val="Hyperlink"/>
            <w:i/>
            <w:u w:val="single"/>
          </w:rPr>
          <w:t>Disability Discrimination Act 1992</w:t>
        </w:r>
      </w:hyperlink>
      <w:r w:rsidR="00E17C70">
        <w:t xml:space="preserve"> </w:t>
      </w:r>
      <w:r w:rsidRPr="00A869C2">
        <w:t xml:space="preserve">requires </w:t>
      </w:r>
      <w:r>
        <w:t>providing</w:t>
      </w:r>
      <w:r w:rsidRPr="00A869C2">
        <w:t xml:space="preserve"> equitable ac</w:t>
      </w:r>
      <w:r>
        <w:t>cess to people with disability</w:t>
      </w:r>
      <w:r w:rsidRPr="00A869C2">
        <w:t xml:space="preserve">. </w:t>
      </w:r>
      <w:r>
        <w:t>I</w:t>
      </w:r>
      <w:r w:rsidRPr="00A869C2">
        <w:t>t is unlawful Under the Act, to dis</w:t>
      </w:r>
      <w:r>
        <w:t xml:space="preserve">criminate against a person with </w:t>
      </w:r>
      <w:r w:rsidRPr="00A869C2">
        <w:t>disability by excluding access to information and services, which includes those delivered</w:t>
      </w:r>
      <w:r>
        <w:t xml:space="preserve"> online.</w:t>
      </w:r>
    </w:p>
    <w:p w:rsidR="00106F61" w:rsidRDefault="00106F61" w:rsidP="00ED1D9E">
      <w:pPr>
        <w:pStyle w:val="Heading2"/>
      </w:pPr>
      <w:r>
        <w:t>3.2</w:t>
      </w:r>
      <w:r>
        <w:tab/>
        <w:t>South Australian Legislation</w:t>
      </w:r>
    </w:p>
    <w:p w:rsidR="004F7B91" w:rsidRDefault="004F7B91" w:rsidP="00ED1D9E">
      <w:r w:rsidRPr="00B139D6">
        <w:t xml:space="preserve">The </w:t>
      </w:r>
      <w:hyperlink r:id="rId10" w:history="1">
        <w:r w:rsidRPr="00641532">
          <w:rPr>
            <w:rStyle w:val="Hyperlink"/>
            <w:i/>
            <w:u w:val="single"/>
          </w:rPr>
          <w:t>Disability Inclusion Act 2018</w:t>
        </w:r>
      </w:hyperlink>
      <w:r w:rsidRPr="00B139D6">
        <w:t xml:space="preserve"> provides a legal framework to support a whole of Government approach to improving the inclusion of all South Australians with disability in </w:t>
      </w:r>
      <w:r>
        <w:t xml:space="preserve">all areas of life in this State (see </w:t>
      </w:r>
      <w:r w:rsidRPr="00B139D6">
        <w:t>4.11 Reporting</w:t>
      </w:r>
      <w:r>
        <w:t>)</w:t>
      </w:r>
      <w:r w:rsidRPr="00B139D6">
        <w:t>.</w:t>
      </w:r>
    </w:p>
    <w:p w:rsidR="004F7B91" w:rsidRDefault="004F7B91" w:rsidP="00ED1D9E">
      <w:r w:rsidRPr="003E1976">
        <w:t xml:space="preserve">This is supported by the </w:t>
      </w:r>
      <w:hyperlink r:id="rId11" w:history="1">
        <w:r w:rsidRPr="00641532">
          <w:rPr>
            <w:rStyle w:val="Hyperlink"/>
            <w:rFonts w:cs="Arial"/>
            <w:u w:val="single"/>
          </w:rPr>
          <w:t>Digital by Default Declaration</w:t>
        </w:r>
      </w:hyperlink>
      <w:r w:rsidRPr="003E1976">
        <w:t xml:space="preserve">: </w:t>
      </w:r>
      <w:r w:rsidRPr="003E1976">
        <w:rPr>
          <w:i/>
        </w:rPr>
        <w:t>“Digital services will be available online, mobile-ready, easy to use and accessible.”</w:t>
      </w:r>
    </w:p>
    <w:p w:rsidR="004F7B91" w:rsidRDefault="004F7B91" w:rsidP="00ED1D9E">
      <w:r>
        <w:lastRenderedPageBreak/>
        <w:t>I</w:t>
      </w:r>
      <w:r w:rsidRPr="00A869C2">
        <w:t xml:space="preserve">t is </w:t>
      </w:r>
      <w:r w:rsidRPr="00AB06B8">
        <w:t xml:space="preserve">also unlawful under the </w:t>
      </w:r>
      <w:hyperlink r:id="rId12" w:history="1">
        <w:r w:rsidRPr="0011229E">
          <w:rPr>
            <w:rStyle w:val="Hyperlink"/>
            <w:i/>
          </w:rPr>
          <w:t>Equal Opportunity Act 1984</w:t>
        </w:r>
      </w:hyperlink>
      <w:r w:rsidRPr="00AB06B8">
        <w:t xml:space="preserve"> to discriminate against a person with disability by denying or limiting access to opportunities for promotion, transfer or training, or to</w:t>
      </w:r>
      <w:r w:rsidRPr="00A869C2">
        <w:t xml:space="preserve"> other benefits connected with employment.</w:t>
      </w:r>
    </w:p>
    <w:p w:rsidR="00106F61" w:rsidRDefault="00106F61" w:rsidP="00ED1D9E">
      <w:pPr>
        <w:pStyle w:val="Heading2"/>
      </w:pPr>
      <w:r>
        <w:t>3.3</w:t>
      </w:r>
      <w:r>
        <w:tab/>
        <w:t>Other guiding legislation and international conventions</w:t>
      </w:r>
    </w:p>
    <w:p w:rsidR="004F7B91" w:rsidRDefault="004F7B91" w:rsidP="00ED1D9E">
      <w:r w:rsidRPr="00F35420">
        <w:t xml:space="preserve">Australian Human Rights Commission: </w:t>
      </w:r>
      <w:r w:rsidRPr="008B2B4E">
        <w:t xml:space="preserve">World Wide Web Access, Disability Discrimination Act Advisory Notes, </w:t>
      </w:r>
      <w:hyperlink r:id="rId13" w:anchor="required" w:history="1">
        <w:r w:rsidRPr="00641532">
          <w:rPr>
            <w:rStyle w:val="Hyperlink"/>
            <w:u w:val="single"/>
          </w:rPr>
          <w:t>2.2 Equal Access is Required by Law</w:t>
        </w:r>
      </w:hyperlink>
      <w:r>
        <w:t>.</w:t>
      </w:r>
    </w:p>
    <w:p w:rsidR="004F7B91" w:rsidRDefault="004F7B91" w:rsidP="00ED1D9E">
      <w:r>
        <w:t xml:space="preserve">The Australian Government, through the 2010 </w:t>
      </w:r>
      <w:hyperlink r:id="rId14" w:history="1">
        <w:r w:rsidRPr="00641532">
          <w:rPr>
            <w:rStyle w:val="Hyperlink"/>
            <w:u w:val="single"/>
          </w:rPr>
          <w:t>Web Accessibility National Transition Strategy (NTS)</w:t>
        </w:r>
      </w:hyperlink>
      <w:r w:rsidRPr="00523C4F">
        <w:t xml:space="preserve">, </w:t>
      </w:r>
      <w:r>
        <w:t>implemented a policy of web accessibility</w:t>
      </w:r>
      <w:r w:rsidRPr="00523C4F">
        <w:t xml:space="preserve"> </w:t>
      </w:r>
      <w:r>
        <w:t>for federal, state and local governments.</w:t>
      </w:r>
    </w:p>
    <w:p w:rsidR="0011229E" w:rsidRDefault="004F7B91" w:rsidP="00ED1D9E">
      <w:r>
        <w:t xml:space="preserve">The Australian Government also approved the </w:t>
      </w:r>
      <w:hyperlink r:id="rId15" w:history="1">
        <w:r w:rsidRPr="00641532">
          <w:rPr>
            <w:rStyle w:val="Hyperlink"/>
            <w:u w:val="single"/>
          </w:rPr>
          <w:t>UN Convention on the Rights of Persons with Disabilities (UNCRPD)</w:t>
        </w:r>
      </w:hyperlink>
      <w:r w:rsidRPr="00641532">
        <w:t xml:space="preserve">. </w:t>
      </w:r>
      <w:hyperlink r:id="rId16" w:history="1">
        <w:r w:rsidRPr="00641532">
          <w:rPr>
            <w:rStyle w:val="Hyperlink"/>
            <w:u w:val="single"/>
          </w:rPr>
          <w:t>Articles 9</w:t>
        </w:r>
      </w:hyperlink>
      <w:r w:rsidRPr="00641532">
        <w:t xml:space="preserve"> and </w:t>
      </w:r>
      <w:hyperlink r:id="rId17" w:history="1">
        <w:r w:rsidRPr="00641532">
          <w:rPr>
            <w:rStyle w:val="Hyperlink"/>
            <w:u w:val="single"/>
          </w:rPr>
          <w:t>Article 21</w:t>
        </w:r>
      </w:hyperlink>
      <w:r>
        <w:t xml:space="preserve"> state access to information, communications and services (including the internet) is a human right.</w:t>
      </w:r>
      <w:r w:rsidR="0011229E" w:rsidRPr="0011229E">
        <w:t xml:space="preserve"> </w:t>
      </w:r>
    </w:p>
    <w:p w:rsidR="0011229E" w:rsidRDefault="0011229E" w:rsidP="00ED1D9E">
      <w:r w:rsidRPr="0011229E">
        <w:t xml:space="preserve">Australia’s response to the UNCRPD, the </w:t>
      </w:r>
      <w:hyperlink r:id="rId18" w:history="1">
        <w:r w:rsidRPr="00641532">
          <w:rPr>
            <w:rStyle w:val="Hyperlink"/>
            <w:u w:val="single"/>
          </w:rPr>
          <w:t>National Disability Strategy 2010-2020</w:t>
        </w:r>
      </w:hyperlink>
      <w:r w:rsidRPr="0011229E">
        <w:t>, identifies the achievement of accessible, reliable and responsive communication and information systems as a key policy direction.</w:t>
      </w:r>
    </w:p>
    <w:p w:rsidR="00781C54" w:rsidRDefault="00781C54" w:rsidP="00ED1D9E">
      <w:r w:rsidRPr="000E5D07">
        <w:t>It is the intention of the Parliament of South Australia that, to such an extent as may be reasonably practicable, the operation, administration and enforcement of</w:t>
      </w:r>
      <w:r>
        <w:t xml:space="preserve"> the</w:t>
      </w:r>
      <w:r w:rsidRPr="000E5D07">
        <w:t xml:space="preserve"> </w:t>
      </w:r>
      <w:hyperlink r:id="rId19" w:history="1">
        <w:r w:rsidRPr="00641532">
          <w:rPr>
            <w:rStyle w:val="Hyperlink"/>
            <w:i/>
            <w:u w:val="single"/>
          </w:rPr>
          <w:t>Disability Inclusion Act 2018</w:t>
        </w:r>
      </w:hyperlink>
      <w:r w:rsidRPr="00B139D6">
        <w:t xml:space="preserve"> </w:t>
      </w:r>
      <w:r w:rsidRPr="000E5D07">
        <w:t xml:space="preserve">is to support and further the principles and purposes of the </w:t>
      </w:r>
      <w:hyperlink r:id="rId20" w:history="1">
        <w:r w:rsidRPr="00641532">
          <w:rPr>
            <w:rStyle w:val="Hyperlink"/>
            <w:u w:val="single"/>
          </w:rPr>
          <w:t>UN Convention on the Rights of Persons with Disabilities</w:t>
        </w:r>
      </w:hyperlink>
      <w:r w:rsidRPr="000E5D07">
        <w:t>, as well any other relevant international human rights instruments affecting people with disability, as in force from time to time.</w:t>
      </w:r>
    </w:p>
    <w:p w:rsidR="00106F61" w:rsidRDefault="00106F61" w:rsidP="009E282E">
      <w:pPr>
        <w:pStyle w:val="Heading1"/>
      </w:pPr>
      <w:r>
        <w:t>4</w:t>
      </w:r>
      <w:r>
        <w:tab/>
        <w:t>Policy Detail</w:t>
      </w:r>
    </w:p>
    <w:p w:rsidR="00106F61" w:rsidRDefault="00106F61" w:rsidP="00ED1D9E">
      <w:pPr>
        <w:pStyle w:val="Heading2"/>
      </w:pPr>
      <w:r>
        <w:t>4.1</w:t>
      </w:r>
      <w:r>
        <w:tab/>
        <w:t>Requirements</w:t>
      </w:r>
    </w:p>
    <w:p w:rsidR="004F7B91" w:rsidRDefault="004F7B91" w:rsidP="00ED1D9E">
      <w:r w:rsidRPr="003E1976">
        <w:t xml:space="preserve">All SA Government online applications referenced in “2. Scope” must conform – at a minimum – to </w:t>
      </w:r>
      <w:hyperlink r:id="rId21" w:history="1">
        <w:r w:rsidRPr="00641532">
          <w:rPr>
            <w:rStyle w:val="Hyperlink"/>
            <w:rFonts w:cs="Arial"/>
            <w:u w:val="single"/>
          </w:rPr>
          <w:t>Web Content Accessibility Guidelines (WCAG) 2.0</w:t>
        </w:r>
      </w:hyperlink>
      <w:r w:rsidRPr="003E1976">
        <w:t xml:space="preserve"> Level AA.</w:t>
      </w:r>
    </w:p>
    <w:p w:rsidR="004F7B91" w:rsidRPr="003E1976" w:rsidRDefault="005D5A3A" w:rsidP="00ED1D9E">
      <w:hyperlink r:id="rId22" w:history="1">
        <w:r w:rsidR="004F7B91" w:rsidRPr="00641532">
          <w:rPr>
            <w:rStyle w:val="Hyperlink"/>
            <w:rFonts w:cs="Arial"/>
            <w:u w:val="single"/>
          </w:rPr>
          <w:t>WCAG 2.1</w:t>
        </w:r>
      </w:hyperlink>
      <w:r w:rsidR="004F7B91">
        <w:t xml:space="preserve"> is an evolution of the accessibility guidance </w:t>
      </w:r>
      <w:r w:rsidR="004F7B91">
        <w:rPr>
          <w:rStyle w:val="ilfuvd"/>
        </w:rPr>
        <w:t xml:space="preserve">to include mobile, low vision, and cognitive provisions, </w:t>
      </w:r>
      <w:r w:rsidR="004F7B91">
        <w:t>and conformance to Level AA is encouraged at this time.</w:t>
      </w:r>
    </w:p>
    <w:p w:rsidR="004F7B91" w:rsidRPr="003E1976" w:rsidRDefault="004F7B91" w:rsidP="00ED1D9E">
      <w:r>
        <w:t>A</w:t>
      </w:r>
      <w:r w:rsidRPr="003E1976">
        <w:t xml:space="preserve">ccessibility </w:t>
      </w:r>
      <w:r>
        <w:t xml:space="preserve">must </w:t>
      </w:r>
      <w:r w:rsidRPr="003E1976">
        <w:t>be addressed at every stage, from planning to development by integrating a user-centre</w:t>
      </w:r>
      <w:r>
        <w:t>d design approach. Refer to "4.</w:t>
      </w:r>
      <w:r w:rsidR="009E4DA3">
        <w:t>5</w:t>
      </w:r>
      <w:bookmarkStart w:id="1" w:name="_GoBack"/>
      <w:bookmarkEnd w:id="1"/>
      <w:r w:rsidRPr="003E1976">
        <w:t xml:space="preserve"> Accessible by Design".</w:t>
      </w:r>
    </w:p>
    <w:p w:rsidR="00106F61" w:rsidRDefault="00106F61" w:rsidP="00ED1D9E">
      <w:pPr>
        <w:pStyle w:val="Heading2"/>
      </w:pPr>
      <w:r>
        <w:t>4.2</w:t>
      </w:r>
      <w:r>
        <w:tab/>
        <w:t>Additional Requirements</w:t>
      </w:r>
    </w:p>
    <w:p w:rsidR="004F7B91" w:rsidRDefault="004F7B91" w:rsidP="00ED1D9E">
      <w:r w:rsidRPr="00E37FE7">
        <w:t>Multi-jurisdictional websites and websites created through public-private partnerships should meet the accessibility requirement determined by the main authoring agency.</w:t>
      </w:r>
    </w:p>
    <w:p w:rsidR="004F7B91" w:rsidRPr="00E37FE7" w:rsidRDefault="004F7B91" w:rsidP="00ED1D9E">
      <w:r w:rsidRPr="00E37FE7">
        <w:t>The accessibility requirement applies to the information structure and format, as well as navi</w:t>
      </w:r>
      <w:r>
        <w:t>gational elements of a website.</w:t>
      </w:r>
    </w:p>
    <w:p w:rsidR="00ED1D9E" w:rsidRDefault="004F7B91" w:rsidP="00ED1D9E">
      <w:r w:rsidRPr="00D360FD">
        <w:t>Accessibility requirements apply to interactive</w:t>
      </w:r>
      <w:r>
        <w:t xml:space="preserve"> elements</w:t>
      </w:r>
      <w:r w:rsidRPr="00E37FE7">
        <w:t>, such as contact forms or similar, maps and</w:t>
      </w:r>
      <w:r>
        <w:t xml:space="preserve"> interactive data visualisation.</w:t>
      </w:r>
    </w:p>
    <w:p w:rsidR="00ED1D9E" w:rsidRDefault="00ED1D9E">
      <w:pPr>
        <w:spacing w:after="0" w:line="240" w:lineRule="auto"/>
        <w:ind w:left="0"/>
      </w:pPr>
      <w:r>
        <w:br w:type="page"/>
      </w:r>
    </w:p>
    <w:p w:rsidR="004F7B91" w:rsidRDefault="004F7B91" w:rsidP="00ED1D9E"/>
    <w:p w:rsidR="004F7B91" w:rsidRDefault="004F7B91" w:rsidP="00ED1D9E">
      <w:r>
        <w:t>S</w:t>
      </w:r>
      <w:r w:rsidRPr="00E37FE7">
        <w:t>ocial media integration (such as Twitter and Facebook)</w:t>
      </w:r>
      <w:r>
        <w:t xml:space="preserve"> should be optimised for accessibility. Content published on these platforms must not be the primary source of information especially where external users can post content and accessibility cannot be controlled by the content owner.</w:t>
      </w:r>
    </w:p>
    <w:p w:rsidR="004F7B91" w:rsidRDefault="004F7B91" w:rsidP="00ED1D9E">
      <w:r w:rsidRPr="00A663F1">
        <w:t>Beyond technical conformance of achieving WCAG 2.</w:t>
      </w:r>
      <w:r>
        <w:t>0</w:t>
      </w:r>
      <w:r w:rsidRPr="00A663F1">
        <w:t>, the Australian Government, Australian Human Rights Commission and the W3C all recommend usability testing with people with disabi</w:t>
      </w:r>
      <w:r>
        <w:t>lity</w:t>
      </w:r>
      <w:r w:rsidRPr="00A663F1">
        <w:t xml:space="preserve"> or age</w:t>
      </w:r>
      <w:r>
        <w:t>-</w:t>
      </w:r>
      <w:r w:rsidRPr="00A663F1">
        <w:t>related impairments using various adaptive strategies to assess online accessibility</w:t>
      </w:r>
      <w:r>
        <w:t xml:space="preserve"> (see 4.9 Accessible by design</w:t>
      </w:r>
      <w:r w:rsidR="007B3CED">
        <w:t>)</w:t>
      </w:r>
      <w:r>
        <w:t>.</w:t>
      </w:r>
    </w:p>
    <w:p w:rsidR="00106F61" w:rsidRDefault="00106F61" w:rsidP="00ED1D9E">
      <w:pPr>
        <w:pStyle w:val="Heading2"/>
      </w:pPr>
      <w:r>
        <w:t>4.</w:t>
      </w:r>
      <w:r w:rsidR="00344759">
        <w:t>3</w:t>
      </w:r>
      <w:r>
        <w:tab/>
        <w:t>Accessibility Standards</w:t>
      </w:r>
    </w:p>
    <w:p w:rsidR="00106F61" w:rsidRDefault="00106F61" w:rsidP="00ED1D9E">
      <w:pPr>
        <w:pStyle w:val="Heading3"/>
      </w:pPr>
      <w:r>
        <w:t>4.</w:t>
      </w:r>
      <w:r w:rsidR="00344759">
        <w:t>3.1</w:t>
      </w:r>
      <w:r>
        <w:tab/>
        <w:t>Websites</w:t>
      </w:r>
    </w:p>
    <w:p w:rsidR="00344759" w:rsidRPr="003E1976" w:rsidRDefault="00344759" w:rsidP="00ED1D9E">
      <w:r w:rsidRPr="003E1976">
        <w:t xml:space="preserve">The </w:t>
      </w:r>
      <w:hyperlink r:id="rId23" w:history="1">
        <w:r w:rsidRPr="00641532">
          <w:rPr>
            <w:rStyle w:val="Hyperlink"/>
            <w:u w:val="single"/>
          </w:rPr>
          <w:t>Web Content Accessibility Guidelines (WCAG) 2.0</w:t>
        </w:r>
      </w:hyperlink>
      <w:r w:rsidRPr="003E1976">
        <w:t xml:space="preserve"> </w:t>
      </w:r>
      <w:r>
        <w:t>how</w:t>
      </w:r>
      <w:r w:rsidRPr="003E1976">
        <w:t xml:space="preserve"> to make digital content accessible to the broadest population. </w:t>
      </w:r>
    </w:p>
    <w:p w:rsidR="00344759" w:rsidRPr="003E1976" w:rsidRDefault="00344759" w:rsidP="00ED1D9E">
      <w:r w:rsidRPr="008D30C9">
        <w:t>For more information, see:</w:t>
      </w:r>
    </w:p>
    <w:p w:rsidR="00344759" w:rsidRPr="003E1976" w:rsidRDefault="005D5A3A" w:rsidP="00ED1D9E">
      <w:pPr>
        <w:pStyle w:val="ListParagraph"/>
      </w:pPr>
      <w:hyperlink r:id="rId24" w:history="1">
        <w:r w:rsidR="00344759" w:rsidRPr="00641532">
          <w:rPr>
            <w:rStyle w:val="Hyperlink"/>
            <w:u w:val="single"/>
          </w:rPr>
          <w:t>How to Meet WCAG 2.0</w:t>
        </w:r>
      </w:hyperlink>
      <w:r w:rsidR="00344759">
        <w:t>:</w:t>
      </w:r>
      <w:r w:rsidR="00344759" w:rsidRPr="003E1976">
        <w:t xml:space="preserve"> customi</w:t>
      </w:r>
      <w:r w:rsidR="00344759">
        <w:t xml:space="preserve">sable quick reference to WCAG 2.0 that includes all </w:t>
      </w:r>
      <w:r w:rsidR="00344759" w:rsidRPr="003E1976">
        <w:t>the guidelines, success criteria, and techniques for authors to use as they are developing and evaluating web cont</w:t>
      </w:r>
      <w:r w:rsidR="009E282E">
        <w:t>ent.</w:t>
      </w:r>
    </w:p>
    <w:p w:rsidR="00106F61" w:rsidRDefault="005D5A3A" w:rsidP="00ED1D9E">
      <w:pPr>
        <w:pStyle w:val="ListParagraph"/>
      </w:pPr>
      <w:hyperlink r:id="rId25" w:history="1">
        <w:r w:rsidR="00344759" w:rsidRPr="00641532">
          <w:rPr>
            <w:rStyle w:val="Hyperlink"/>
            <w:u w:val="single"/>
          </w:rPr>
          <w:t>GOV.AU: Accessibility and inclusivity</w:t>
        </w:r>
      </w:hyperlink>
      <w:r w:rsidR="00344759" w:rsidRPr="003E1976">
        <w:t>: a supporting resource for online content authors</w:t>
      </w:r>
      <w:r w:rsidR="009E282E">
        <w:t>.</w:t>
      </w:r>
    </w:p>
    <w:p w:rsidR="00106F61" w:rsidRDefault="00106F61" w:rsidP="00ED1D9E">
      <w:pPr>
        <w:pStyle w:val="Heading3"/>
      </w:pPr>
      <w:r>
        <w:t>4.</w:t>
      </w:r>
      <w:r w:rsidR="00344759">
        <w:t>3.2</w:t>
      </w:r>
      <w:r>
        <w:tab/>
        <w:t>Native Apps</w:t>
      </w:r>
    </w:p>
    <w:p w:rsidR="00A56375" w:rsidRPr="00956BCF" w:rsidRDefault="00A56375" w:rsidP="00ED1D9E">
      <w:pPr>
        <w:rPr>
          <w:lang w:val="en-US"/>
        </w:rPr>
      </w:pPr>
      <w:r w:rsidRPr="00956BCF">
        <w:rPr>
          <w:lang w:val="en-US"/>
        </w:rPr>
        <w:t>Accessibility for the mobile platform refers to making websites and applications acces</w:t>
      </w:r>
      <w:r>
        <w:rPr>
          <w:lang w:val="en-US"/>
        </w:rPr>
        <w:t>sible for users with disability</w:t>
      </w:r>
      <w:r w:rsidRPr="00956BCF">
        <w:rPr>
          <w:lang w:val="en-US"/>
        </w:rPr>
        <w:t xml:space="preserve"> while they are using mobile phones, tablets etc. The W3C has not established </w:t>
      </w:r>
      <w:r>
        <w:rPr>
          <w:lang w:val="en-US"/>
        </w:rPr>
        <w:t xml:space="preserve">a </w:t>
      </w:r>
      <w:r w:rsidRPr="00956BCF">
        <w:rPr>
          <w:lang w:val="en-US"/>
        </w:rPr>
        <w:t xml:space="preserve">separate </w:t>
      </w:r>
      <w:r>
        <w:rPr>
          <w:lang w:val="en-US"/>
        </w:rPr>
        <w:t xml:space="preserve">standard </w:t>
      </w:r>
      <w:r w:rsidRPr="00956BCF">
        <w:rPr>
          <w:lang w:val="en-US"/>
        </w:rPr>
        <w:t xml:space="preserve">for mobile web and native apps; but has covered </w:t>
      </w:r>
      <w:r w:rsidRPr="006F3415">
        <w:rPr>
          <w:lang w:val="en-US"/>
        </w:rPr>
        <w:t xml:space="preserve">accessibility for these techniques </w:t>
      </w:r>
      <w:r w:rsidRPr="00956BCF">
        <w:rPr>
          <w:lang w:val="en-US"/>
        </w:rPr>
        <w:t>through</w:t>
      </w:r>
      <w:r>
        <w:rPr>
          <w:lang w:val="en-US"/>
        </w:rPr>
        <w:t xml:space="preserve"> additional Success Criteria in the </w:t>
      </w:r>
      <w:hyperlink r:id="rId26" w:history="1">
        <w:r w:rsidRPr="00641532">
          <w:rPr>
            <w:rStyle w:val="Hyperlink"/>
            <w:u w:val="single"/>
            <w:lang w:val="en-US"/>
          </w:rPr>
          <w:t>WCAG 2.1</w:t>
        </w:r>
      </w:hyperlink>
      <w:r w:rsidRPr="00641532">
        <w:rPr>
          <w:u w:val="single"/>
          <w:lang w:val="en-US"/>
        </w:rPr>
        <w:t xml:space="preserve"> </w:t>
      </w:r>
      <w:r>
        <w:rPr>
          <w:lang w:val="en-US"/>
        </w:rPr>
        <w:t>specification that pertain to touchscreen technology.</w:t>
      </w:r>
    </w:p>
    <w:p w:rsidR="00A56375" w:rsidRPr="00956BCF" w:rsidRDefault="00A56375" w:rsidP="00ED1D9E">
      <w:pPr>
        <w:rPr>
          <w:lang w:val="en-US"/>
        </w:rPr>
      </w:pPr>
      <w:r w:rsidRPr="00956BCF">
        <w:rPr>
          <w:lang w:val="en-US"/>
        </w:rPr>
        <w:t>The W3C recommends applying the following existing set of guidelines to the context apps:</w:t>
      </w:r>
    </w:p>
    <w:p w:rsidR="00A56375" w:rsidRDefault="00A56375" w:rsidP="00ED1D9E">
      <w:pPr>
        <w:pStyle w:val="ListParagraph"/>
        <w:rPr>
          <w:lang w:val="en-US"/>
        </w:rPr>
      </w:pPr>
      <w:r>
        <w:rPr>
          <w:lang w:val="en-US"/>
        </w:rPr>
        <w:t>WCAG 2.1</w:t>
      </w:r>
      <w:r w:rsidRPr="00956BCF">
        <w:rPr>
          <w:lang w:val="en-US"/>
        </w:rPr>
        <w:t xml:space="preserve"> includes recommendations to implement accessibility across web pages, web applications as well as web content designed to be used through mobile devices.</w:t>
      </w:r>
    </w:p>
    <w:p w:rsidR="00A56375" w:rsidRPr="00F73294" w:rsidRDefault="005D5A3A" w:rsidP="00ED1D9E">
      <w:pPr>
        <w:pStyle w:val="ListParagraph"/>
        <w:rPr>
          <w:lang w:val="en-US"/>
        </w:rPr>
      </w:pPr>
      <w:hyperlink r:id="rId27" w:history="1">
        <w:r w:rsidR="00A56375" w:rsidRPr="00641532">
          <w:rPr>
            <w:rStyle w:val="Hyperlink"/>
            <w:u w:val="single"/>
            <w:lang w:val="en-US"/>
          </w:rPr>
          <w:t>Mobile Accessibility: How WCAG 2.0 and Other W3C/WAI Guidelines Apply to Mobile</w:t>
        </w:r>
      </w:hyperlink>
      <w:r w:rsidR="00A56375">
        <w:rPr>
          <w:lang w:val="en-US"/>
        </w:rPr>
        <w:t xml:space="preserve"> </w:t>
      </w:r>
      <w:r w:rsidR="00A56375" w:rsidRPr="00F73294">
        <w:rPr>
          <w:lang w:val="en-US"/>
        </w:rPr>
        <w:t>includes recommendations designed to improve the overall user experience of the web on mobile devices.</w:t>
      </w:r>
    </w:p>
    <w:p w:rsidR="00106F61" w:rsidRDefault="00106F61" w:rsidP="00ED1D9E">
      <w:pPr>
        <w:pStyle w:val="Heading3"/>
      </w:pPr>
      <w:r>
        <w:t>4.</w:t>
      </w:r>
      <w:r w:rsidR="00344759">
        <w:t>3.3</w:t>
      </w:r>
      <w:r>
        <w:tab/>
        <w:t>Portable Document Format</w:t>
      </w:r>
    </w:p>
    <w:p w:rsidR="00A56375" w:rsidRDefault="00A56375" w:rsidP="00ED1D9E">
      <w:r w:rsidRPr="00183CAB">
        <w:t>PDF</w:t>
      </w:r>
      <w:r>
        <w:t xml:space="preserve"> accessibility is covered under</w:t>
      </w:r>
      <w:hyperlink r:id="rId28" w:history="1">
        <w:r w:rsidRPr="00500E4E">
          <w:rPr>
            <w:rStyle w:val="Hyperlink"/>
          </w:rPr>
          <w:t xml:space="preserve"> </w:t>
        </w:r>
        <w:r w:rsidRPr="00500E4E">
          <w:rPr>
            <w:rStyle w:val="Hyperlink"/>
            <w:i/>
            <w:u w:val="single"/>
          </w:rPr>
          <w:t>WCAG 2.0</w:t>
        </w:r>
      </w:hyperlink>
      <w:r w:rsidRPr="00183CAB">
        <w:t xml:space="preserve">. However, due to the lack of support for PDF in mobile environments, </w:t>
      </w:r>
      <w:r>
        <w:t>a</w:t>
      </w:r>
      <w:r w:rsidRPr="00E37FE7">
        <w:t xml:space="preserve">gencies are reminded that Portable Document Format (PDF) </w:t>
      </w:r>
      <w:r>
        <w:t xml:space="preserve">alone </w:t>
      </w:r>
      <w:r w:rsidRPr="00E37FE7">
        <w:t xml:space="preserve">is </w:t>
      </w:r>
      <w:r>
        <w:t xml:space="preserve">still </w:t>
      </w:r>
      <w:r w:rsidRPr="00E37FE7">
        <w:t>not considered a sufficiently accessibl</w:t>
      </w:r>
      <w:r>
        <w:t>e format.</w:t>
      </w:r>
    </w:p>
    <w:p w:rsidR="00A56375" w:rsidRPr="00EA4BCE" w:rsidRDefault="00A56375" w:rsidP="00ED1D9E">
      <w:pPr>
        <w:rPr>
          <w:rStyle w:val="Hyperlink"/>
          <w:rFonts w:cs="Arial"/>
          <w:color w:val="auto"/>
        </w:rPr>
      </w:pPr>
      <w:r w:rsidRPr="00183CAB">
        <w:t xml:space="preserve">This </w:t>
      </w:r>
      <w:r>
        <w:t xml:space="preserve">shortcoming </w:t>
      </w:r>
      <w:r w:rsidRPr="00183CAB">
        <w:t xml:space="preserve">means that although PDFs can be made fully accessible to WCAG 2.0 standards, it may still be necessary to provide the same information </w:t>
      </w:r>
      <w:r>
        <w:t xml:space="preserve">in another format, ideally accessible HTML, which </w:t>
      </w:r>
      <w:r w:rsidRPr="004C51A4">
        <w:t xml:space="preserve">should be the default format for all </w:t>
      </w:r>
      <w:r>
        <w:t>g</w:t>
      </w:r>
      <w:r w:rsidRPr="004C51A4">
        <w:t xml:space="preserve">overnment </w:t>
      </w:r>
      <w:r w:rsidRPr="00EA4BCE">
        <w:t>information.</w:t>
      </w:r>
    </w:p>
    <w:p w:rsidR="00A56375" w:rsidRDefault="005D5A3A" w:rsidP="00ED1D9E">
      <w:pPr>
        <w:pStyle w:val="ListParagraph"/>
      </w:pPr>
      <w:hyperlink r:id="rId29" w:anchor="pdf-accessibility" w:history="1">
        <w:r w:rsidR="00A56375" w:rsidRPr="00B139D6">
          <w:rPr>
            <w:rStyle w:val="Hyperlink"/>
            <w:rFonts w:cs="Arial"/>
          </w:rPr>
          <w:t>GOV.AU: PDF accessibility</w:t>
        </w:r>
      </w:hyperlink>
      <w:r w:rsidR="00A56375">
        <w:rPr>
          <w:rStyle w:val="Hyperlink"/>
          <w:rFonts w:cs="Arial"/>
        </w:rPr>
        <w:t xml:space="preserve">: </w:t>
      </w:r>
      <w:r w:rsidR="00A56375" w:rsidRPr="00C232A9">
        <w:rPr>
          <w:rStyle w:val="Hyperlink"/>
          <w:rFonts w:cs="Arial"/>
          <w:color w:val="auto"/>
        </w:rPr>
        <w:t>guidelines on structuring PDF, hyperlinking, and offering an alternative format to PDF.</w:t>
      </w:r>
    </w:p>
    <w:p w:rsidR="00A56375" w:rsidRDefault="00A56375" w:rsidP="00ED1D9E">
      <w:r>
        <w:t xml:space="preserve">An accessible HTML version of annual reports must be provided as outlined in the </w:t>
      </w:r>
      <w:hyperlink r:id="rId30" w:history="1">
        <w:r w:rsidR="00E17C70">
          <w:rPr>
            <w:rStyle w:val="Hyperlink"/>
          </w:rPr>
          <w:t>Premier and Cabinet circular PC013</w:t>
        </w:r>
      </w:hyperlink>
      <w:r>
        <w:t>.</w:t>
      </w:r>
    </w:p>
    <w:p w:rsidR="00106F61" w:rsidRDefault="00106F61" w:rsidP="00ED1D9E">
      <w:pPr>
        <w:pStyle w:val="Heading3"/>
      </w:pPr>
      <w:r>
        <w:t>4.</w:t>
      </w:r>
      <w:r w:rsidR="00344759">
        <w:t>3.4</w:t>
      </w:r>
      <w:r>
        <w:tab/>
        <w:t>Non-web-base</w:t>
      </w:r>
      <w:r w:rsidR="004F7B91">
        <w:t>d</w:t>
      </w:r>
      <w:r>
        <w:t xml:space="preserve"> software</w:t>
      </w:r>
    </w:p>
    <w:p w:rsidR="006816A4" w:rsidRDefault="00A56375" w:rsidP="00ED1D9E">
      <w:r w:rsidRPr="0076296A">
        <w:t xml:space="preserve">The </w:t>
      </w:r>
      <w:hyperlink r:id="rId31" w:history="1">
        <w:r w:rsidRPr="00641532">
          <w:rPr>
            <w:rStyle w:val="Hyperlink"/>
            <w:u w:val="single"/>
          </w:rPr>
          <w:t>Australian Accessible ICT Standard AS EN 301 549:2016</w:t>
        </w:r>
      </w:hyperlink>
      <w:r w:rsidRPr="00E3766D">
        <w:t xml:space="preserve"> </w:t>
      </w:r>
      <w:r w:rsidRPr="0002617B">
        <w:t xml:space="preserve">is a direct adoption of European Standard </w:t>
      </w:r>
      <w:hyperlink r:id="rId32" w:history="1">
        <w:r w:rsidRPr="00641532">
          <w:rPr>
            <w:rStyle w:val="Hyperlink"/>
            <w:u w:val="single"/>
          </w:rPr>
          <w:t>EN 301 549</w:t>
        </w:r>
      </w:hyperlink>
      <w:r>
        <w:t xml:space="preserve">. The standard </w:t>
      </w:r>
      <w:r w:rsidRPr="0076296A">
        <w:t>address access to electronic products and information technology for people with physical, s</w:t>
      </w:r>
      <w:r>
        <w:t>ensory, or cognitive disability. The standard</w:t>
      </w:r>
      <w:r w:rsidRPr="0076296A">
        <w:t xml:space="preserve"> contain</w:t>
      </w:r>
      <w:r>
        <w:t>s</w:t>
      </w:r>
      <w:r w:rsidRPr="0076296A">
        <w:t xml:space="preserve"> technical criteria specific to various types of technologies and performance-based requirements </w:t>
      </w:r>
      <w:r>
        <w:t>that</w:t>
      </w:r>
      <w:r w:rsidRPr="0076296A">
        <w:t xml:space="preserve"> focus on</w:t>
      </w:r>
      <w:r>
        <w:t xml:space="preserve"> the</w:t>
      </w:r>
      <w:r w:rsidRPr="0076296A">
        <w:t xml:space="preserve"> functional capabilities of digital products.</w:t>
      </w:r>
    </w:p>
    <w:p w:rsidR="00A56375" w:rsidRPr="00114955" w:rsidRDefault="00A56375" w:rsidP="00ED1D9E">
      <w:r>
        <w:t>Specific criteria cover software applications and operating systems.</w:t>
      </w:r>
    </w:p>
    <w:p w:rsidR="00106F61" w:rsidRDefault="00106F61" w:rsidP="00ED1D9E">
      <w:pPr>
        <w:pStyle w:val="Heading2"/>
      </w:pPr>
      <w:r>
        <w:t>4.</w:t>
      </w:r>
      <w:r w:rsidR="00A56375">
        <w:t>4</w:t>
      </w:r>
      <w:r>
        <w:tab/>
        <w:t>Responsibilities</w:t>
      </w:r>
    </w:p>
    <w:p w:rsidR="00106F61" w:rsidRDefault="00344759" w:rsidP="00ED1D9E">
      <w:r>
        <w:t>SA Government a</w:t>
      </w:r>
      <w:r w:rsidRPr="00F650B9">
        <w:t xml:space="preserve">gencies are responsible for implementing this policy in relation to </w:t>
      </w:r>
      <w:r>
        <w:t xml:space="preserve">all </w:t>
      </w:r>
      <w:r w:rsidRPr="00F650B9">
        <w:t xml:space="preserve">their own public facing </w:t>
      </w:r>
      <w:r>
        <w:t>online content as defined in 2. Scope</w:t>
      </w:r>
      <w:r w:rsidRPr="00F650B9">
        <w:t>.</w:t>
      </w:r>
    </w:p>
    <w:p w:rsidR="00106F61" w:rsidRDefault="00106F61" w:rsidP="00ED1D9E">
      <w:pPr>
        <w:pStyle w:val="Heading2"/>
      </w:pPr>
      <w:r>
        <w:t>4.</w:t>
      </w:r>
      <w:r w:rsidR="00A56375">
        <w:t>5</w:t>
      </w:r>
      <w:r>
        <w:tab/>
        <w:t>Accessible by Design</w:t>
      </w:r>
    </w:p>
    <w:p w:rsidR="008928FB" w:rsidRPr="00F650B9" w:rsidRDefault="008928FB" w:rsidP="00ED1D9E">
      <w:r w:rsidRPr="003E1976">
        <w:t>Accessibility requirements are specifically addressed in</w:t>
      </w:r>
      <w:r w:rsidR="00126C6F">
        <w:t xml:space="preserve"> </w:t>
      </w:r>
      <w:hyperlink r:id="rId33" w:history="1">
        <w:r w:rsidRPr="00641532">
          <w:rPr>
            <w:rStyle w:val="Hyperlink"/>
            <w:rFonts w:cs="Arial"/>
            <w:u w:val="single"/>
          </w:rPr>
          <w:t>Criterion 9 of the Digital Service Standard: Make it Accessible</w:t>
        </w:r>
      </w:hyperlink>
      <w:r w:rsidRPr="003E1976">
        <w:t>.</w:t>
      </w:r>
    </w:p>
    <w:p w:rsidR="008928FB" w:rsidRDefault="008928FB" w:rsidP="00ED1D9E">
      <w:r>
        <w:t>Online</w:t>
      </w:r>
      <w:r w:rsidRPr="00F650B9">
        <w:t xml:space="preserve"> content </w:t>
      </w:r>
      <w:r>
        <w:t>must</w:t>
      </w:r>
      <w:r w:rsidRPr="00F650B9">
        <w:t xml:space="preserve"> be created in ways that support and maximise accessibility, including from fixe</w:t>
      </w:r>
      <w:r>
        <w:t>d and mobile devices. Agencies must</w:t>
      </w:r>
      <w:r w:rsidRPr="00F650B9">
        <w:t xml:space="preserve"> consider the varied needs of users, and plan for </w:t>
      </w:r>
      <w:r>
        <w:t>accessibility from the outset.</w:t>
      </w:r>
    </w:p>
    <w:p w:rsidR="008928FB" w:rsidRDefault="008928FB" w:rsidP="00ED1D9E">
      <w:r w:rsidRPr="00F650B9">
        <w:t>Where accessibility problems are known, agencies should put in place implementation plans to address the problem, then endeavour to minimise future risk by using standards-based web technologies and best practice content management processes.</w:t>
      </w:r>
    </w:p>
    <w:p w:rsidR="00106F61" w:rsidRDefault="00106F61" w:rsidP="00ED1D9E">
      <w:pPr>
        <w:pStyle w:val="Heading2"/>
      </w:pPr>
      <w:r>
        <w:t>4.</w:t>
      </w:r>
      <w:r w:rsidR="00A56375">
        <w:t>6</w:t>
      </w:r>
      <w:r>
        <w:tab/>
        <w:t>Web Technologies</w:t>
      </w:r>
    </w:p>
    <w:p w:rsidR="008928FB" w:rsidRPr="00F650B9" w:rsidRDefault="008928FB" w:rsidP="00ED1D9E">
      <w:r>
        <w:t xml:space="preserve">Agencies should not rely </w:t>
      </w:r>
      <w:r w:rsidRPr="00F650B9">
        <w:t>on any web technology that cannot demonstrate WCAG 2.</w:t>
      </w:r>
      <w:r>
        <w:t>0</w:t>
      </w:r>
      <w:r w:rsidRPr="00F650B9">
        <w:t xml:space="preserve"> conformance. Web technologies that </w:t>
      </w:r>
      <w:r>
        <w:t>claim accessibility support must</w:t>
      </w:r>
      <w:r w:rsidRPr="00F650B9">
        <w:t xml:space="preserve"> prove WCAG 2.</w:t>
      </w:r>
      <w:r>
        <w:t>0</w:t>
      </w:r>
      <w:r w:rsidRPr="00F650B9">
        <w:t xml:space="preserve"> conform</w:t>
      </w:r>
      <w:r>
        <w:t>ance</w:t>
      </w:r>
      <w:r w:rsidRPr="00F650B9">
        <w:t>.</w:t>
      </w:r>
    </w:p>
    <w:p w:rsidR="00106F61" w:rsidRDefault="00106F61" w:rsidP="00ED1D9E">
      <w:pPr>
        <w:pStyle w:val="Heading2"/>
      </w:pPr>
      <w:r>
        <w:t>4.</w:t>
      </w:r>
      <w:r w:rsidR="00A56375">
        <w:t>7</w:t>
      </w:r>
      <w:r>
        <w:tab/>
        <w:t>Reporting</w:t>
      </w:r>
    </w:p>
    <w:p w:rsidR="008928FB" w:rsidRDefault="008928FB" w:rsidP="00ED1D9E">
      <w:pPr>
        <w:rPr>
          <w:rFonts w:ascii="Times New Roman" w:hAnsi="Times New Roman"/>
        </w:rPr>
      </w:pPr>
      <w:r>
        <w:t xml:space="preserve">The </w:t>
      </w:r>
      <w:hyperlink r:id="rId34" w:history="1">
        <w:r w:rsidRPr="00641532">
          <w:rPr>
            <w:rStyle w:val="Hyperlink"/>
            <w:i/>
            <w:iCs/>
            <w:u w:val="single"/>
          </w:rPr>
          <w:t>Disability Inclusion Act 2018</w:t>
        </w:r>
      </w:hyperlink>
      <w:r>
        <w:t xml:space="preserve"> </w:t>
      </w:r>
      <w:r w:rsidR="0011229E">
        <w:t xml:space="preserve">(the Act) </w:t>
      </w:r>
      <w:r>
        <w:t>provides a legal framework to support a whole of Government approach to improving the inclusion of all South Australians with disability in all areas of life in this State.</w:t>
      </w:r>
    </w:p>
    <w:p w:rsidR="0011229E" w:rsidRDefault="0011229E" w:rsidP="00ED1D9E">
      <w:r>
        <w:t xml:space="preserve">In addition to a State Disability Inclusion Plan, </w:t>
      </w:r>
      <w:r w:rsidR="000C04BC">
        <w:t>u</w:t>
      </w:r>
      <w:r>
        <w:t xml:space="preserve">nder Part 5 (17)(1) of the Act each State authority is required to prepare a </w:t>
      </w:r>
      <w:hyperlink r:id="rId35" w:history="1">
        <w:r w:rsidRPr="00641532">
          <w:rPr>
            <w:rStyle w:val="Hyperlink"/>
            <w:u w:val="single"/>
          </w:rPr>
          <w:t>Disability Access and Inclusion Plan</w:t>
        </w:r>
      </w:hyperlink>
      <w:r>
        <w:t xml:space="preserve"> (DAIP) and publish it online, </w:t>
      </w:r>
      <w:r w:rsidR="00781C54">
        <w:t>by</w:t>
      </w:r>
      <w:r>
        <w:t xml:space="preserve"> 31 October 2020. </w:t>
      </w:r>
      <w:r w:rsidR="00781C54" w:rsidRPr="00781C54">
        <w:t xml:space="preserve">The authority must then report annually on the operation of its DAIP, with the first report due by 31 October 2021.  </w:t>
      </w:r>
    </w:p>
    <w:p w:rsidR="00ED1D9E" w:rsidRDefault="00ED1D9E">
      <w:pPr>
        <w:spacing w:after="0" w:line="240" w:lineRule="auto"/>
        <w:ind w:left="0"/>
      </w:pPr>
      <w:r>
        <w:br w:type="page"/>
      </w:r>
    </w:p>
    <w:p w:rsidR="0011229E" w:rsidRDefault="0011229E" w:rsidP="00ED1D9E">
      <w:r>
        <w:lastRenderedPageBreak/>
        <w:t>Part 5 (16)(3)(d)(ii) of the Act states that DAIPs must include strategies to support people with disability</w:t>
      </w:r>
      <w:r w:rsidR="00781C54">
        <w:t xml:space="preserve"> to</w:t>
      </w:r>
      <w:r>
        <w:t xml:space="preserve"> access information and communications. An example might be measuring success in delivering online services delivered in line with this policy or evidence of WCAG 2.0 Level AA compliance through an internal or external audit, with an action plan to address any issues must be provided.</w:t>
      </w:r>
    </w:p>
    <w:p w:rsidR="00106F61" w:rsidRDefault="00106F61" w:rsidP="009E282E">
      <w:pPr>
        <w:pStyle w:val="Heading1"/>
      </w:pPr>
      <w:r>
        <w:t>5</w:t>
      </w:r>
      <w:r>
        <w:tab/>
        <w:t>Procurement Policies</w:t>
      </w:r>
    </w:p>
    <w:p w:rsidR="008928FB" w:rsidRPr="006A16EC" w:rsidRDefault="008928FB" w:rsidP="00ED1D9E">
      <w:pPr>
        <w:rPr>
          <w:lang w:val="en-US"/>
        </w:rPr>
      </w:pPr>
      <w:r w:rsidRPr="004C6830">
        <w:t xml:space="preserve">All </w:t>
      </w:r>
      <w:r>
        <w:t>SA Government procurement documents</w:t>
      </w:r>
      <w:r w:rsidRPr="004C6830">
        <w:t xml:space="preserve"> that relate to the development and/or implementation of </w:t>
      </w:r>
      <w:r>
        <w:t>SA Governmen</w:t>
      </w:r>
      <w:r w:rsidRPr="004C6830">
        <w:t xml:space="preserve">t’s digital </w:t>
      </w:r>
      <w:r>
        <w:t>properties must clearly state</w:t>
      </w:r>
      <w:r w:rsidRPr="004C6830">
        <w:t xml:space="preserve"> </w:t>
      </w:r>
      <w:r>
        <w:t>SA Government</w:t>
      </w:r>
      <w:r w:rsidRPr="004C6830">
        <w:t>’s accessibility requirements as per this policy.</w:t>
      </w:r>
    </w:p>
    <w:p w:rsidR="008928FB" w:rsidRDefault="008928FB" w:rsidP="00ED1D9E">
      <w:r>
        <w:t>Australia</w:t>
      </w:r>
      <w:r w:rsidRPr="009F4C9A">
        <w:t xml:space="preserve"> </w:t>
      </w:r>
      <w:r>
        <w:t xml:space="preserve">has </w:t>
      </w:r>
      <w:hyperlink r:id="rId36" w:history="1">
        <w:r w:rsidRPr="00641532">
          <w:rPr>
            <w:rStyle w:val="Hyperlink"/>
            <w:u w:val="single"/>
          </w:rPr>
          <w:t>adopted an internationally aligned standard</w:t>
        </w:r>
      </w:hyperlink>
      <w:r w:rsidRPr="00E3766D">
        <w:t xml:space="preserve"> for the</w:t>
      </w:r>
      <w:r w:rsidR="008D30C9">
        <w:t xml:space="preserve"> procurement of accessible ICT.</w:t>
      </w:r>
    </w:p>
    <w:p w:rsidR="008928FB" w:rsidRPr="003C7EF0" w:rsidRDefault="008928FB" w:rsidP="00ED1D9E">
      <w:r>
        <w:t>The</w:t>
      </w:r>
      <w:r w:rsidRPr="00E3766D">
        <w:t xml:space="preserve"> Australian Accessible ICT Standard</w:t>
      </w:r>
      <w:r w:rsidRPr="0076296A">
        <w:t xml:space="preserve"> </w:t>
      </w:r>
      <w:hyperlink r:id="rId37" w:history="1">
        <w:r w:rsidRPr="00641532">
          <w:rPr>
            <w:rStyle w:val="Hyperlink"/>
            <w:u w:val="single"/>
          </w:rPr>
          <w:t>AS EN 301 549:2016</w:t>
        </w:r>
      </w:hyperlink>
      <w:r>
        <w:t xml:space="preserve"> </w:t>
      </w:r>
      <w:r w:rsidRPr="00872444">
        <w:t>is a direct adoption of European Standard</w:t>
      </w:r>
      <w:r w:rsidR="00312536">
        <w:t xml:space="preserve"> </w:t>
      </w:r>
      <w:hyperlink r:id="rId38" w:history="1">
        <w:r w:rsidRPr="00641532">
          <w:rPr>
            <w:rStyle w:val="Hyperlink"/>
            <w:u w:val="single"/>
          </w:rPr>
          <w:t>EN 301 549</w:t>
        </w:r>
      </w:hyperlink>
      <w:r>
        <w:t xml:space="preserve">. The standard </w:t>
      </w:r>
      <w:r w:rsidRPr="00872444">
        <w:t>support</w:t>
      </w:r>
      <w:r>
        <w:t>s</w:t>
      </w:r>
      <w:r w:rsidRPr="00872444">
        <w:t xml:space="preserve"> access to</w:t>
      </w:r>
      <w:r w:rsidRPr="007636A4">
        <w:t xml:space="preserve"> information, communication and technology</w:t>
      </w:r>
      <w:r>
        <w:t xml:space="preserve"> (ICT) for people with disability and provides ICT procurers with </w:t>
      </w:r>
      <w:r w:rsidRPr="00872444">
        <w:t>accessibility guidance and certainty</w:t>
      </w:r>
      <w:r>
        <w:t>.</w:t>
      </w:r>
    </w:p>
    <w:p w:rsidR="008928FB" w:rsidRDefault="008928FB" w:rsidP="00ED1D9E">
      <w:r>
        <w:t>Vendors must provide sufficient evidence to demonstrate their compliance with these requirements. Evidence may include</w:t>
      </w:r>
      <w:r w:rsidRPr="00B6493B">
        <w:t>:</w:t>
      </w:r>
    </w:p>
    <w:p w:rsidR="008928FB" w:rsidRPr="00A56EDB" w:rsidRDefault="008928FB" w:rsidP="00ED1D9E">
      <w:pPr>
        <w:pStyle w:val="ListParagraph"/>
      </w:pPr>
      <w:r w:rsidRPr="00A56EDB">
        <w:t>Documentation detailing the level of accessibility of a product (against WCAG 2.</w:t>
      </w:r>
      <w:r>
        <w:t>0</w:t>
      </w:r>
      <w:r w:rsidRPr="00A56EDB">
        <w:t xml:space="preserve"> or </w:t>
      </w:r>
      <w:r w:rsidRPr="00656E24">
        <w:t>AS EN 301 549:2016</w:t>
      </w:r>
      <w:r>
        <w:t>)</w:t>
      </w:r>
    </w:p>
    <w:p w:rsidR="008928FB" w:rsidRPr="00A56EDB" w:rsidRDefault="008928FB" w:rsidP="00ED1D9E">
      <w:pPr>
        <w:pStyle w:val="ListParagraph"/>
      </w:pPr>
      <w:r w:rsidRPr="00A56EDB">
        <w:t>Past case studies where accessibility r</w:t>
      </w:r>
      <w:r>
        <w:t>equirements have been addressed</w:t>
      </w:r>
    </w:p>
    <w:p w:rsidR="008928FB" w:rsidRPr="00A56EDB" w:rsidRDefault="008928FB" w:rsidP="00ED1D9E">
      <w:pPr>
        <w:pStyle w:val="ListParagraph"/>
      </w:pPr>
      <w:r w:rsidRPr="00A56EDB">
        <w:t>Details of how accessibility is represente</w:t>
      </w:r>
      <w:r>
        <w:t>d on the future product roadmap</w:t>
      </w:r>
    </w:p>
    <w:p w:rsidR="008928FB" w:rsidRPr="005D7A9A" w:rsidRDefault="008928FB" w:rsidP="00ED1D9E">
      <w:pPr>
        <w:pStyle w:val="ListParagraph"/>
      </w:pPr>
      <w:r w:rsidRPr="00A56EDB">
        <w:t>Identification of specific reference sites where people with a di</w:t>
      </w:r>
      <w:r>
        <w:t>sability are using the solution.</w:t>
      </w:r>
    </w:p>
    <w:p w:rsidR="004F7B91" w:rsidRDefault="004F7B91" w:rsidP="00ED1D9E">
      <w:pPr>
        <w:pStyle w:val="Heading2"/>
      </w:pPr>
      <w:r>
        <w:t>5.1</w:t>
      </w:r>
      <w:r>
        <w:tab/>
        <w:t>Compliance</w:t>
      </w:r>
    </w:p>
    <w:p w:rsidR="008928FB" w:rsidRDefault="008928FB" w:rsidP="00ED1D9E">
      <w:r>
        <w:t xml:space="preserve">Any product or supplier selected by SA Government </w:t>
      </w:r>
      <w:r w:rsidRPr="00BA49D5">
        <w:t xml:space="preserve">must demonstrate </w:t>
      </w:r>
      <w:r>
        <w:t>how the solution meets the relevant standards as outlined in "4.3 Accessibility Standards", or the capability to deliver this as part of the implementation.</w:t>
      </w:r>
    </w:p>
    <w:p w:rsidR="008928FB" w:rsidRDefault="008928FB" w:rsidP="00ED1D9E">
      <w:r>
        <w:t>Any purchase arrangement or contract must include terms confirming the vendor’s commitment to meet SA Government’s accessibility requirements.</w:t>
      </w:r>
    </w:p>
    <w:p w:rsidR="008928FB" w:rsidRPr="00D00D97" w:rsidRDefault="008928FB" w:rsidP="00ED1D9E">
      <w:r w:rsidRPr="00BA49D5">
        <w:t xml:space="preserve">If the </w:t>
      </w:r>
      <w:r>
        <w:t xml:space="preserve">product or supplier </w:t>
      </w:r>
      <w:r w:rsidRPr="00BA49D5">
        <w:t xml:space="preserve">cannot demonstrate the </w:t>
      </w:r>
      <w:r>
        <w:t xml:space="preserve">required </w:t>
      </w:r>
      <w:r w:rsidRPr="00BA49D5">
        <w:t>level of accessibility</w:t>
      </w:r>
      <w:r>
        <w:t>,</w:t>
      </w:r>
      <w:r w:rsidRPr="00BA49D5">
        <w:t xml:space="preserve"> then the</w:t>
      </w:r>
      <w:r>
        <w:t xml:space="preserve"> business area must engage an internal accessibility subject matter expert (SME) or a third-party digital accessibility consultancy to validate compliance before entering into any arrangements with the product or supplier.</w:t>
      </w:r>
    </w:p>
    <w:p w:rsidR="004F7B91" w:rsidRDefault="004F7B91" w:rsidP="009E282E">
      <w:pPr>
        <w:pStyle w:val="Heading1"/>
      </w:pPr>
      <w:r>
        <w:t>6</w:t>
      </w:r>
      <w:r>
        <w:tab/>
        <w:t>Resources</w:t>
      </w:r>
    </w:p>
    <w:p w:rsidR="007D7F5F" w:rsidRPr="0072288E" w:rsidRDefault="008928FB" w:rsidP="00ED1D9E">
      <w:r>
        <w:t xml:space="preserve">Contact </w:t>
      </w:r>
      <w:hyperlink r:id="rId39" w:history="1">
        <w:r w:rsidRPr="00641532">
          <w:rPr>
            <w:rStyle w:val="Hyperlink"/>
            <w:rFonts w:cs="Arial"/>
            <w:u w:val="single"/>
          </w:rPr>
          <w:t>Digital Citizen Services</w:t>
        </w:r>
      </w:hyperlink>
      <w:r>
        <w:rPr>
          <w:rStyle w:val="Hyperlink"/>
          <w:rFonts w:cs="Arial"/>
        </w:rPr>
        <w:t xml:space="preserve"> </w:t>
      </w:r>
      <w:r>
        <w:t>for support, guidance and advice for SA Government agencies.</w:t>
      </w:r>
    </w:p>
    <w:sectPr w:rsidR="007D7F5F" w:rsidRPr="0072288E" w:rsidSect="00F32317">
      <w:footerReference w:type="default" r:id="rId40"/>
      <w:headerReference w:type="first" r:id="rId41"/>
      <w:footerReference w:type="first" r:id="rId42"/>
      <w:pgSz w:w="11900" w:h="16840"/>
      <w:pgMar w:top="1418" w:right="1127" w:bottom="426" w:left="993" w:header="0" w:footer="47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5A3A" w:rsidRDefault="005D5A3A" w:rsidP="00ED1D9E">
      <w:r>
        <w:separator/>
      </w:r>
    </w:p>
  </w:endnote>
  <w:endnote w:type="continuationSeparator" w:id="0">
    <w:p w:rsidR="005D5A3A" w:rsidRDefault="005D5A3A" w:rsidP="00ED1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Arial Bold">
    <w:altName w:val="Aria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762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2"/>
      <w:gridCol w:w="5669"/>
    </w:tblGrid>
    <w:tr w:rsidR="00ED1D9E" w:rsidTr="00ED1D9E">
      <w:trPr>
        <w:trHeight w:val="290"/>
      </w:trPr>
      <w:tc>
        <w:tcPr>
          <w:tcW w:w="1952" w:type="dxa"/>
          <w:shd w:val="clear" w:color="auto" w:fill="004B88" w:themeFill="text2"/>
          <w:vAlign w:val="center"/>
        </w:tcPr>
        <w:p w:rsidR="00ED1D9E" w:rsidRPr="008011DC" w:rsidRDefault="00ED1D9E" w:rsidP="00ED1D9E">
          <w:pPr>
            <w:pStyle w:val="Pagenumbers"/>
          </w:pPr>
          <w:r w:rsidRPr="008011DC">
            <w:t xml:space="preserve">Page </w:t>
          </w:r>
          <w:r w:rsidRPr="008011DC">
            <w:fldChar w:fldCharType="begin"/>
          </w:r>
          <w:r w:rsidRPr="008011DC">
            <w:instrText xml:space="preserve"> PAGE </w:instrText>
          </w:r>
          <w:r w:rsidRPr="008011DC">
            <w:fldChar w:fldCharType="separate"/>
          </w:r>
          <w:r w:rsidR="00074E3A">
            <w:rPr>
              <w:noProof/>
            </w:rPr>
            <w:t>5</w:t>
          </w:r>
          <w:r w:rsidRPr="008011DC">
            <w:fldChar w:fldCharType="end"/>
          </w:r>
          <w:r w:rsidRPr="008011DC">
            <w:t xml:space="preserve"> of </w:t>
          </w:r>
          <w:r>
            <w:rPr>
              <w:noProof/>
            </w:rPr>
            <w:fldChar w:fldCharType="begin"/>
          </w:r>
          <w:r>
            <w:rPr>
              <w:noProof/>
            </w:rPr>
            <w:instrText xml:space="preserve"> NUMPAGES </w:instrText>
          </w:r>
          <w:r>
            <w:rPr>
              <w:noProof/>
            </w:rPr>
            <w:fldChar w:fldCharType="separate"/>
          </w:r>
          <w:r w:rsidR="00074E3A">
            <w:rPr>
              <w:noProof/>
            </w:rPr>
            <w:t>5</w:t>
          </w:r>
          <w:r>
            <w:rPr>
              <w:noProof/>
            </w:rPr>
            <w:fldChar w:fldCharType="end"/>
          </w:r>
        </w:p>
      </w:tc>
      <w:tc>
        <w:tcPr>
          <w:tcW w:w="5669" w:type="dxa"/>
          <w:shd w:val="clear" w:color="auto" w:fill="004B88" w:themeFill="text2"/>
          <w:vAlign w:val="center"/>
        </w:tcPr>
        <w:p w:rsidR="00ED1D9E" w:rsidRPr="008011DC" w:rsidRDefault="00ED1D9E" w:rsidP="00ED1D9E">
          <w:pPr>
            <w:pStyle w:val="Pagenumbers"/>
            <w:ind w:left="832"/>
          </w:pPr>
          <w:r>
            <w:t>Public</w:t>
          </w:r>
          <w:r w:rsidRPr="008011DC">
            <w:t>-I</w:t>
          </w:r>
          <w:r>
            <w:t>1</w:t>
          </w:r>
          <w:r w:rsidRPr="008011DC">
            <w:t>-A</w:t>
          </w:r>
          <w:r>
            <w:t>1   DRAFT</w:t>
          </w:r>
        </w:p>
      </w:tc>
    </w:tr>
  </w:tbl>
  <w:p w:rsidR="00ED1D9E" w:rsidRDefault="00ED1D9E" w:rsidP="00ED1D9E">
    <w:pPr>
      <w:pStyle w:val="Footer"/>
    </w:pPr>
    <w:r>
      <w:rPr>
        <w:noProof/>
        <w:lang w:eastAsia="en-AU"/>
      </w:rPr>
      <w:drawing>
        <wp:anchor distT="0" distB="0" distL="114300" distR="114300" simplePos="0" relativeHeight="251659264" behindDoc="1" locked="0" layoutInCell="1" allowOverlap="1" wp14:anchorId="4362125A" wp14:editId="2466DA78">
          <wp:simplePos x="0" y="0"/>
          <wp:positionH relativeFrom="page">
            <wp:align>right</wp:align>
          </wp:positionH>
          <wp:positionV relativeFrom="paragraph">
            <wp:posOffset>-451104</wp:posOffset>
          </wp:positionV>
          <wp:extent cx="7548033" cy="89836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ooter-DPC ONLY.png"/>
                  <pic:cNvPicPr/>
                </pic:nvPicPr>
                <pic:blipFill>
                  <a:blip r:embed="rId1"/>
                  <a:stretch>
                    <a:fillRect/>
                  </a:stretch>
                </pic:blipFill>
                <pic:spPr>
                  <a:xfrm>
                    <a:off x="0" y="0"/>
                    <a:ext cx="7548033" cy="89836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2"/>
      <w:tblW w:w="1130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9072"/>
    </w:tblGrid>
    <w:tr w:rsidR="00ED1D9E" w:rsidRPr="00084360" w:rsidTr="001F011B">
      <w:trPr>
        <w:trHeight w:val="290"/>
      </w:trPr>
      <w:tc>
        <w:tcPr>
          <w:tcW w:w="2235" w:type="dxa"/>
          <w:shd w:val="clear" w:color="auto" w:fill="004B88" w:themeFill="text2"/>
          <w:vAlign w:val="center"/>
        </w:tcPr>
        <w:p w:rsidR="00ED1D9E" w:rsidRPr="001F011B" w:rsidRDefault="00ED1D9E" w:rsidP="00ED1D9E">
          <w:pPr>
            <w:rPr>
              <w:sz w:val="18"/>
              <w:szCs w:val="18"/>
            </w:rPr>
          </w:pPr>
          <w:r w:rsidRPr="001F011B">
            <w:rPr>
              <w:sz w:val="18"/>
              <w:szCs w:val="18"/>
            </w:rPr>
            <w:t xml:space="preserve">Page </w:t>
          </w:r>
          <w:r w:rsidRPr="001F011B">
            <w:rPr>
              <w:sz w:val="18"/>
              <w:szCs w:val="18"/>
            </w:rPr>
            <w:fldChar w:fldCharType="begin"/>
          </w:r>
          <w:r w:rsidRPr="001F011B">
            <w:rPr>
              <w:sz w:val="18"/>
              <w:szCs w:val="18"/>
            </w:rPr>
            <w:instrText xml:space="preserve"> PAGE </w:instrText>
          </w:r>
          <w:r w:rsidRPr="001F011B">
            <w:rPr>
              <w:sz w:val="18"/>
              <w:szCs w:val="18"/>
            </w:rPr>
            <w:fldChar w:fldCharType="separate"/>
          </w:r>
          <w:r w:rsidR="00074E3A">
            <w:rPr>
              <w:noProof/>
              <w:sz w:val="18"/>
              <w:szCs w:val="18"/>
            </w:rPr>
            <w:t>1</w:t>
          </w:r>
          <w:r w:rsidRPr="001F011B">
            <w:rPr>
              <w:sz w:val="18"/>
              <w:szCs w:val="18"/>
            </w:rPr>
            <w:fldChar w:fldCharType="end"/>
          </w:r>
          <w:r w:rsidRPr="001F011B">
            <w:rPr>
              <w:sz w:val="18"/>
              <w:szCs w:val="18"/>
            </w:rPr>
            <w:t xml:space="preserve"> of </w:t>
          </w:r>
          <w:r w:rsidRPr="001F011B">
            <w:rPr>
              <w:sz w:val="18"/>
              <w:szCs w:val="18"/>
            </w:rPr>
            <w:fldChar w:fldCharType="begin"/>
          </w:r>
          <w:r w:rsidRPr="001F011B">
            <w:rPr>
              <w:sz w:val="18"/>
              <w:szCs w:val="18"/>
            </w:rPr>
            <w:instrText xml:space="preserve"> NUMPAGES </w:instrText>
          </w:r>
          <w:r w:rsidRPr="001F011B">
            <w:rPr>
              <w:sz w:val="18"/>
              <w:szCs w:val="18"/>
            </w:rPr>
            <w:fldChar w:fldCharType="separate"/>
          </w:r>
          <w:r w:rsidR="00074E3A">
            <w:rPr>
              <w:noProof/>
              <w:sz w:val="18"/>
              <w:szCs w:val="18"/>
            </w:rPr>
            <w:t>5</w:t>
          </w:r>
          <w:r w:rsidRPr="001F011B">
            <w:rPr>
              <w:sz w:val="18"/>
              <w:szCs w:val="18"/>
            </w:rPr>
            <w:fldChar w:fldCharType="end"/>
          </w:r>
        </w:p>
      </w:tc>
      <w:tc>
        <w:tcPr>
          <w:tcW w:w="9072" w:type="dxa"/>
          <w:shd w:val="clear" w:color="auto" w:fill="004B88" w:themeFill="text2"/>
          <w:vAlign w:val="center"/>
        </w:tcPr>
        <w:p w:rsidR="00ED1D9E" w:rsidRPr="001F011B" w:rsidRDefault="00ED1D9E" w:rsidP="00ED1D9E">
          <w:pPr>
            <w:rPr>
              <w:sz w:val="18"/>
              <w:szCs w:val="18"/>
            </w:rPr>
          </w:pPr>
          <w:r w:rsidRPr="001F011B">
            <w:rPr>
              <w:sz w:val="18"/>
              <w:szCs w:val="18"/>
            </w:rPr>
            <w:tab/>
            <w:t>Public I1-A1   DRAFT</w:t>
          </w:r>
        </w:p>
      </w:tc>
    </w:tr>
  </w:tbl>
  <w:p w:rsidR="00ED1D9E" w:rsidRDefault="00ED1D9E" w:rsidP="00ED1D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5A3A" w:rsidRDefault="005D5A3A" w:rsidP="00ED1D9E">
      <w:r>
        <w:separator/>
      </w:r>
    </w:p>
  </w:footnote>
  <w:footnote w:type="continuationSeparator" w:id="0">
    <w:p w:rsidR="005D5A3A" w:rsidRDefault="005D5A3A" w:rsidP="00ED1D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1D9E" w:rsidRDefault="00ED1D9E" w:rsidP="00C363DD">
    <w:pPr>
      <w:pStyle w:val="Header"/>
      <w:tabs>
        <w:tab w:val="clear" w:pos="4320"/>
        <w:tab w:val="clear" w:pos="8640"/>
        <w:tab w:val="center" w:pos="4536"/>
      </w:tabs>
      <w:ind w:left="-851"/>
    </w:pPr>
    <w:r>
      <w:rPr>
        <w:noProof/>
        <w:lang w:eastAsia="en-AU"/>
      </w:rPr>
      <w:drawing>
        <wp:inline distT="0" distB="0" distL="0" distR="0" wp14:anchorId="45316855" wp14:editId="137C7008">
          <wp:extent cx="7538678" cy="1383996"/>
          <wp:effectExtent l="0" t="0" r="5715" b="6985"/>
          <wp:docPr id="169" name="Picture 169" title="DPC Branding and Government of South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png"/>
                  <pic:cNvPicPr/>
                </pic:nvPicPr>
                <pic:blipFill>
                  <a:blip r:embed="rId1"/>
                  <a:stretch>
                    <a:fillRect/>
                  </a:stretch>
                </pic:blipFill>
                <pic:spPr>
                  <a:xfrm>
                    <a:off x="0" y="0"/>
                    <a:ext cx="7538678" cy="13839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1CE2D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D4805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B0A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4B2D9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8C89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9A83B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D08BD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4C5E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2AC8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38D8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5AA31BA"/>
    <w:multiLevelType w:val="hybridMultilevel"/>
    <w:tmpl w:val="0BFAB13E"/>
    <w:lvl w:ilvl="0" w:tplc="49D4967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EA7FF8"/>
    <w:multiLevelType w:val="hybridMultilevel"/>
    <w:tmpl w:val="35D807D4"/>
    <w:lvl w:ilvl="0" w:tplc="A2E4889C">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09B6300"/>
    <w:multiLevelType w:val="hybridMultilevel"/>
    <w:tmpl w:val="6D54CE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D2E50E4"/>
    <w:multiLevelType w:val="hybridMultilevel"/>
    <w:tmpl w:val="2DB25624"/>
    <w:lvl w:ilvl="0" w:tplc="1F32106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E54564A"/>
    <w:multiLevelType w:val="hybridMultilevel"/>
    <w:tmpl w:val="B32E8BDC"/>
    <w:lvl w:ilvl="0" w:tplc="F5846E08">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50E643AF"/>
    <w:multiLevelType w:val="hybridMultilevel"/>
    <w:tmpl w:val="861C55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28571AC"/>
    <w:multiLevelType w:val="hybridMultilevel"/>
    <w:tmpl w:val="236E7CE2"/>
    <w:lvl w:ilvl="0" w:tplc="1E866C64">
      <w:start w:val="1"/>
      <w:numFmt w:val="decimal"/>
      <w:pStyle w:val="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B9C2D57"/>
    <w:multiLevelType w:val="hybridMultilevel"/>
    <w:tmpl w:val="19ECF7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2CB1399"/>
    <w:multiLevelType w:val="hybridMultilevel"/>
    <w:tmpl w:val="18B07892"/>
    <w:lvl w:ilvl="0" w:tplc="5E04155C">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abstractNumId w:val="18"/>
  </w:num>
  <w:num w:numId="2">
    <w:abstractNumId w:val="10"/>
  </w:num>
  <w:num w:numId="3">
    <w:abstractNumId w:val="16"/>
  </w:num>
  <w:num w:numId="4">
    <w:abstractNumId w:val="9"/>
  </w:num>
  <w:num w:numId="5">
    <w:abstractNumId w:val="8"/>
  </w:num>
  <w:num w:numId="6">
    <w:abstractNumId w:val="7"/>
  </w:num>
  <w:num w:numId="7">
    <w:abstractNumId w:val="6"/>
  </w:num>
  <w:num w:numId="8">
    <w:abstractNumId w:val="5"/>
  </w:num>
  <w:num w:numId="9">
    <w:abstractNumId w:val="4"/>
  </w:num>
  <w:num w:numId="10">
    <w:abstractNumId w:val="3"/>
  </w:num>
  <w:num w:numId="11">
    <w:abstractNumId w:val="2"/>
  </w:num>
  <w:num w:numId="12">
    <w:abstractNumId w:val="1"/>
  </w:num>
  <w:num w:numId="13">
    <w:abstractNumId w:val="0"/>
  </w:num>
  <w:num w:numId="14">
    <w:abstractNumId w:val="14"/>
  </w:num>
  <w:num w:numId="15">
    <w:abstractNumId w:val="13"/>
  </w:num>
  <w:num w:numId="16">
    <w:abstractNumId w:val="17"/>
  </w:num>
  <w:num w:numId="17">
    <w:abstractNumId w:val="11"/>
  </w:num>
  <w:num w:numId="18">
    <w:abstractNumId w:val="15"/>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F61"/>
    <w:rsid w:val="00025EA1"/>
    <w:rsid w:val="00030D16"/>
    <w:rsid w:val="00074592"/>
    <w:rsid w:val="00074E3A"/>
    <w:rsid w:val="00084360"/>
    <w:rsid w:val="000A20BC"/>
    <w:rsid w:val="000A7301"/>
    <w:rsid w:val="000C04BC"/>
    <w:rsid w:val="000F4860"/>
    <w:rsid w:val="001043B7"/>
    <w:rsid w:val="00106F61"/>
    <w:rsid w:val="0011229E"/>
    <w:rsid w:val="001135E1"/>
    <w:rsid w:val="00126C6F"/>
    <w:rsid w:val="001308DA"/>
    <w:rsid w:val="0013256D"/>
    <w:rsid w:val="00143C32"/>
    <w:rsid w:val="0017021E"/>
    <w:rsid w:val="00172576"/>
    <w:rsid w:val="0018012B"/>
    <w:rsid w:val="001A1918"/>
    <w:rsid w:val="001A46FD"/>
    <w:rsid w:val="001D047A"/>
    <w:rsid w:val="001D5D67"/>
    <w:rsid w:val="001E0EA8"/>
    <w:rsid w:val="001F011B"/>
    <w:rsid w:val="00212870"/>
    <w:rsid w:val="00212945"/>
    <w:rsid w:val="0026074C"/>
    <w:rsid w:val="00284B34"/>
    <w:rsid w:val="00285524"/>
    <w:rsid w:val="00291DD0"/>
    <w:rsid w:val="002A04E8"/>
    <w:rsid w:val="002A3288"/>
    <w:rsid w:val="002A59A3"/>
    <w:rsid w:val="002B6EAE"/>
    <w:rsid w:val="002D60F4"/>
    <w:rsid w:val="002E0A93"/>
    <w:rsid w:val="002E1C1D"/>
    <w:rsid w:val="002F166C"/>
    <w:rsid w:val="002F5AA1"/>
    <w:rsid w:val="002F6E4E"/>
    <w:rsid w:val="00312536"/>
    <w:rsid w:val="003233C4"/>
    <w:rsid w:val="00324804"/>
    <w:rsid w:val="00324C35"/>
    <w:rsid w:val="003264A1"/>
    <w:rsid w:val="00336C9F"/>
    <w:rsid w:val="00336DE8"/>
    <w:rsid w:val="00340461"/>
    <w:rsid w:val="00344759"/>
    <w:rsid w:val="003809A4"/>
    <w:rsid w:val="00392254"/>
    <w:rsid w:val="00397BB1"/>
    <w:rsid w:val="003A1A77"/>
    <w:rsid w:val="003A73C7"/>
    <w:rsid w:val="003B5AC0"/>
    <w:rsid w:val="003E0EC1"/>
    <w:rsid w:val="003F2DFB"/>
    <w:rsid w:val="00412E2D"/>
    <w:rsid w:val="00417C99"/>
    <w:rsid w:val="00450A47"/>
    <w:rsid w:val="004557D9"/>
    <w:rsid w:val="004669FB"/>
    <w:rsid w:val="004753A7"/>
    <w:rsid w:val="00477C43"/>
    <w:rsid w:val="004D4C60"/>
    <w:rsid w:val="004D5F40"/>
    <w:rsid w:val="004F23B4"/>
    <w:rsid w:val="004F60D8"/>
    <w:rsid w:val="004F7B91"/>
    <w:rsid w:val="00500E4E"/>
    <w:rsid w:val="005079A5"/>
    <w:rsid w:val="00514C6A"/>
    <w:rsid w:val="00537998"/>
    <w:rsid w:val="00545EC0"/>
    <w:rsid w:val="00575358"/>
    <w:rsid w:val="00585FD0"/>
    <w:rsid w:val="00596109"/>
    <w:rsid w:val="0059742B"/>
    <w:rsid w:val="005B045E"/>
    <w:rsid w:val="005B0F93"/>
    <w:rsid w:val="005D5A3A"/>
    <w:rsid w:val="005F2F62"/>
    <w:rsid w:val="005F3700"/>
    <w:rsid w:val="00621676"/>
    <w:rsid w:val="00631571"/>
    <w:rsid w:val="00634963"/>
    <w:rsid w:val="00641532"/>
    <w:rsid w:val="006446E4"/>
    <w:rsid w:val="00647083"/>
    <w:rsid w:val="00656BB5"/>
    <w:rsid w:val="00656E24"/>
    <w:rsid w:val="00661EB5"/>
    <w:rsid w:val="00663AB2"/>
    <w:rsid w:val="006641F4"/>
    <w:rsid w:val="00670778"/>
    <w:rsid w:val="006816A4"/>
    <w:rsid w:val="006A1C31"/>
    <w:rsid w:val="006C0CCF"/>
    <w:rsid w:val="006C5662"/>
    <w:rsid w:val="006D3A4C"/>
    <w:rsid w:val="0072288E"/>
    <w:rsid w:val="00724E9F"/>
    <w:rsid w:val="00747C07"/>
    <w:rsid w:val="00750584"/>
    <w:rsid w:val="00751BE8"/>
    <w:rsid w:val="00752F55"/>
    <w:rsid w:val="00764827"/>
    <w:rsid w:val="00780AB8"/>
    <w:rsid w:val="00781C54"/>
    <w:rsid w:val="00787875"/>
    <w:rsid w:val="007A1000"/>
    <w:rsid w:val="007B3CED"/>
    <w:rsid w:val="007C3140"/>
    <w:rsid w:val="007D6B74"/>
    <w:rsid w:val="007D7F5F"/>
    <w:rsid w:val="007E0FBE"/>
    <w:rsid w:val="007F3695"/>
    <w:rsid w:val="007F469B"/>
    <w:rsid w:val="008005B5"/>
    <w:rsid w:val="00804169"/>
    <w:rsid w:val="0084633D"/>
    <w:rsid w:val="0085065A"/>
    <w:rsid w:val="0086295A"/>
    <w:rsid w:val="008915D1"/>
    <w:rsid w:val="008928FB"/>
    <w:rsid w:val="008A18A5"/>
    <w:rsid w:val="008A5B3A"/>
    <w:rsid w:val="008A6C7C"/>
    <w:rsid w:val="008D30C9"/>
    <w:rsid w:val="008F226D"/>
    <w:rsid w:val="008F7591"/>
    <w:rsid w:val="00933A1D"/>
    <w:rsid w:val="00937A73"/>
    <w:rsid w:val="00976ECC"/>
    <w:rsid w:val="00981627"/>
    <w:rsid w:val="00996376"/>
    <w:rsid w:val="00997F44"/>
    <w:rsid w:val="009D0EC0"/>
    <w:rsid w:val="009D7D9A"/>
    <w:rsid w:val="009E282E"/>
    <w:rsid w:val="009E32A5"/>
    <w:rsid w:val="009E4DA3"/>
    <w:rsid w:val="00A56375"/>
    <w:rsid w:val="00A5740B"/>
    <w:rsid w:val="00A67687"/>
    <w:rsid w:val="00A86F6C"/>
    <w:rsid w:val="00AA00D6"/>
    <w:rsid w:val="00AA11EE"/>
    <w:rsid w:val="00AA6103"/>
    <w:rsid w:val="00AB06B8"/>
    <w:rsid w:val="00AC2019"/>
    <w:rsid w:val="00AC730E"/>
    <w:rsid w:val="00AD26EE"/>
    <w:rsid w:val="00AE73F3"/>
    <w:rsid w:val="00AF7F16"/>
    <w:rsid w:val="00B00277"/>
    <w:rsid w:val="00B33A04"/>
    <w:rsid w:val="00BC1084"/>
    <w:rsid w:val="00BE1653"/>
    <w:rsid w:val="00BF58D7"/>
    <w:rsid w:val="00C232A9"/>
    <w:rsid w:val="00C363DD"/>
    <w:rsid w:val="00C850E4"/>
    <w:rsid w:val="00CA03FB"/>
    <w:rsid w:val="00CD4126"/>
    <w:rsid w:val="00CF0B15"/>
    <w:rsid w:val="00CF65B2"/>
    <w:rsid w:val="00D11EDC"/>
    <w:rsid w:val="00D12D6C"/>
    <w:rsid w:val="00D542FC"/>
    <w:rsid w:val="00D570B7"/>
    <w:rsid w:val="00D70FFA"/>
    <w:rsid w:val="00D76CAD"/>
    <w:rsid w:val="00D83B28"/>
    <w:rsid w:val="00D95C4B"/>
    <w:rsid w:val="00DA381C"/>
    <w:rsid w:val="00DB073B"/>
    <w:rsid w:val="00DD1AC8"/>
    <w:rsid w:val="00DD358E"/>
    <w:rsid w:val="00E101C5"/>
    <w:rsid w:val="00E17C70"/>
    <w:rsid w:val="00E20E1E"/>
    <w:rsid w:val="00E2182E"/>
    <w:rsid w:val="00E401AC"/>
    <w:rsid w:val="00E45F67"/>
    <w:rsid w:val="00E5702C"/>
    <w:rsid w:val="00E61F11"/>
    <w:rsid w:val="00E72A73"/>
    <w:rsid w:val="00E83FBC"/>
    <w:rsid w:val="00E96BE0"/>
    <w:rsid w:val="00EA4BCE"/>
    <w:rsid w:val="00ED1D9E"/>
    <w:rsid w:val="00F27EC5"/>
    <w:rsid w:val="00F32317"/>
    <w:rsid w:val="00F60D07"/>
    <w:rsid w:val="00F83567"/>
    <w:rsid w:val="00F87A29"/>
    <w:rsid w:val="00F97D5A"/>
    <w:rsid w:val="00FA3600"/>
    <w:rsid w:val="00FB577D"/>
    <w:rsid w:val="00FB5CA4"/>
    <w:rsid w:val="00FD470E"/>
    <w:rsid w:val="00FE4FC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C1DABEC"/>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sz w:val="22"/>
        <w:szCs w:val="22"/>
        <w:lang w:val="en-AU" w:eastAsia="en-US" w:bidi="ar-SA"/>
      </w:rPr>
    </w:rPrDefault>
    <w:pPrDefault/>
  </w:docDefaults>
  <w:latentStyles w:defLockedState="0" w:defUIPriority="98" w:defSemiHidden="0" w:defUnhideWhenUsed="0" w:defQFormat="0" w:count="375">
    <w:lsdException w:name="Normal" w:uiPriority="0" w:qFormat="1"/>
    <w:lsdException w:name="heading 1" w:uiPriority="0" w:qFormat="1"/>
    <w:lsdException w:name="heading 2" w:semiHidden="1" w:uiPriority="8" w:unhideWhenUsed="1" w:qFormat="1"/>
    <w:lsdException w:name="heading 3" w:semiHidden="1" w:uiPriority="9" w:unhideWhenUsed="1" w:qFormat="1"/>
    <w:lsdException w:name="heading 4" w:semiHidden="1" w:uiPriority="8" w:unhideWhenUsed="1" w:qFormat="1"/>
    <w:lsdException w:name="heading 5" w:semiHidden="1" w:uiPriority="8" w:unhideWhenUsed="1" w:qFormat="1"/>
    <w:lsdException w:name="heading 6" w:semiHidden="1" w:uiPriority="8" w:unhideWhenUsed="1" w:qFormat="1"/>
    <w:lsdException w:name="heading 7" w:semiHidden="1" w:uiPriority="8" w:unhideWhenUsed="1" w:qFormat="1"/>
    <w:lsdException w:name="heading 8" w:semiHidden="1" w:uiPriority="8" w:unhideWhenUsed="1" w:qFormat="1"/>
    <w:lsdException w:name="heading 9" w:semiHidden="1" w:uiPriority="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8" w:unhideWhenUsed="1"/>
    <w:lsdException w:name="toc 4" w:semiHidden="1" w:uiPriority="38" w:unhideWhenUsed="1"/>
    <w:lsdException w:name="toc 5" w:semiHidden="1" w:uiPriority="38" w:unhideWhenUsed="1"/>
    <w:lsdException w:name="toc 6" w:semiHidden="1" w:uiPriority="38" w:unhideWhenUsed="1"/>
    <w:lsdException w:name="toc 7" w:semiHidden="1" w:uiPriority="38" w:unhideWhenUsed="1"/>
    <w:lsdException w:name="toc 8" w:semiHidden="1" w:uiPriority="38" w:unhideWhenUsed="1"/>
    <w:lsdException w:name="toc 9" w:semiHidden="1" w:uiPriority="38"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1"/>
    <w:lsdException w:name="Emphasis" w:uiPriority="19"/>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8"/>
    <w:lsdException w:name="Intense Quote" w:uiPriority="2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0"/>
    <w:lsdException w:name="Subtle Reference" w:uiPriority="30"/>
    <w:lsdException w:name="Intense Reference" w:uiPriority="31"/>
    <w:lsdException w:name="Book Title" w:uiPriority="32"/>
    <w:lsdException w:name="Bibliography" w:semiHidden="1" w:uiPriority="36"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ED1D9E"/>
    <w:pPr>
      <w:spacing w:after="200" w:line="280" w:lineRule="exact"/>
      <w:ind w:left="426"/>
    </w:pPr>
    <w:rPr>
      <w:sz w:val="24"/>
      <w:szCs w:val="24"/>
    </w:rPr>
  </w:style>
  <w:style w:type="paragraph" w:styleId="Heading1">
    <w:name w:val="heading 1"/>
    <w:link w:val="Heading1Char"/>
    <w:autoRedefine/>
    <w:qFormat/>
    <w:rsid w:val="00A56375"/>
    <w:pPr>
      <w:tabs>
        <w:tab w:val="left" w:pos="426"/>
      </w:tabs>
      <w:spacing w:before="320" w:after="120"/>
      <w:outlineLvl w:val="0"/>
    </w:pPr>
    <w:rPr>
      <w:rFonts w:eastAsia="Times New Roman" w:cs="Times New Roman"/>
      <w:b/>
      <w:bCs/>
      <w:noProof/>
      <w:sz w:val="28"/>
    </w:rPr>
  </w:style>
  <w:style w:type="paragraph" w:styleId="Heading2">
    <w:name w:val="heading 2"/>
    <w:basedOn w:val="Normal"/>
    <w:next w:val="Normal"/>
    <w:link w:val="Heading2Char"/>
    <w:autoRedefine/>
    <w:uiPriority w:val="8"/>
    <w:unhideWhenUsed/>
    <w:qFormat/>
    <w:rsid w:val="00EA4BCE"/>
    <w:pPr>
      <w:keepNext/>
      <w:keepLines/>
      <w:tabs>
        <w:tab w:val="left" w:pos="851"/>
      </w:tabs>
      <w:spacing w:before="360" w:after="120"/>
      <w:ind w:left="425"/>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8"/>
    <w:unhideWhenUsed/>
    <w:qFormat/>
    <w:rsid w:val="006C0CCF"/>
    <w:pPr>
      <w:keepNext/>
      <w:keepLines/>
      <w:spacing w:before="40" w:after="0"/>
      <w:outlineLvl w:val="2"/>
    </w:pPr>
    <w:rPr>
      <w:rFonts w:asciiTheme="majorHAnsi" w:eastAsiaTheme="majorEastAsia" w:hAnsiTheme="majorHAnsi" w:cstheme="majorBidi"/>
      <w:color w:val="3F3F3F"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6375"/>
    <w:rPr>
      <w:rFonts w:eastAsia="Times New Roman" w:cs="Times New Roman"/>
      <w:b/>
      <w:bCs/>
      <w:noProof/>
      <w:sz w:val="28"/>
    </w:rPr>
  </w:style>
  <w:style w:type="paragraph" w:customStyle="1" w:styleId="IntroParagraph">
    <w:name w:val="Intro Paragraph"/>
    <w:link w:val="IntroParagraphChar"/>
    <w:autoRedefine/>
    <w:qFormat/>
    <w:rsid w:val="00DB073B"/>
    <w:pPr>
      <w:spacing w:before="120" w:after="240"/>
      <w:ind w:right="34"/>
    </w:pPr>
    <w:rPr>
      <w:rFonts w:eastAsia="Times New Roman" w:cs="Times New Roman"/>
      <w:color w:val="7F7F7F" w:themeColor="text1" w:themeTint="80"/>
      <w:sz w:val="32"/>
      <w:szCs w:val="30"/>
    </w:rPr>
  </w:style>
  <w:style w:type="paragraph" w:customStyle="1" w:styleId="DPCBodyHeading">
    <w:name w:val="DPC Body Heading"/>
    <w:next w:val="Normal"/>
    <w:autoRedefine/>
    <w:rsid w:val="006C5662"/>
    <w:pPr>
      <w:spacing w:after="240" w:line="280" w:lineRule="atLeast"/>
      <w:ind w:right="-618"/>
    </w:pPr>
    <w:rPr>
      <w:rFonts w:eastAsiaTheme="majorEastAsia" w:cstheme="majorBidi"/>
      <w:bCs/>
      <w:sz w:val="20"/>
      <w:szCs w:val="20"/>
    </w:rPr>
  </w:style>
  <w:style w:type="paragraph" w:customStyle="1" w:styleId="-Normal1-">
    <w:name w:val="-Normal1-"/>
    <w:autoRedefine/>
    <w:qFormat/>
    <w:rsid w:val="00126C6F"/>
    <w:pPr>
      <w:ind w:left="29" w:right="34"/>
    </w:pPr>
    <w:rPr>
      <w:rFonts w:eastAsia="Times New Roman" w:cs="Arial"/>
      <w:color w:val="000000" w:themeColor="text1"/>
      <w:sz w:val="20"/>
      <w:lang w:eastAsia="en-AU"/>
    </w:rPr>
  </w:style>
  <w:style w:type="paragraph" w:styleId="Header">
    <w:name w:val="header"/>
    <w:basedOn w:val="Normal"/>
    <w:link w:val="HeaderChar"/>
    <w:uiPriority w:val="98"/>
    <w:unhideWhenUsed/>
    <w:rsid w:val="00AF7F16"/>
    <w:pPr>
      <w:tabs>
        <w:tab w:val="center" w:pos="4320"/>
        <w:tab w:val="right" w:pos="8640"/>
      </w:tabs>
      <w:spacing w:after="0" w:line="240" w:lineRule="auto"/>
    </w:pPr>
  </w:style>
  <w:style w:type="character" w:customStyle="1" w:styleId="HeaderChar">
    <w:name w:val="Header Char"/>
    <w:basedOn w:val="DefaultParagraphFont"/>
    <w:link w:val="Header"/>
    <w:rsid w:val="00663AB2"/>
  </w:style>
  <w:style w:type="paragraph" w:styleId="Footer">
    <w:name w:val="footer"/>
    <w:basedOn w:val="Normal"/>
    <w:link w:val="FooterChar"/>
    <w:uiPriority w:val="98"/>
    <w:unhideWhenUsed/>
    <w:rsid w:val="00AF7F16"/>
    <w:pPr>
      <w:tabs>
        <w:tab w:val="center" w:pos="4320"/>
        <w:tab w:val="right" w:pos="8640"/>
      </w:tabs>
      <w:spacing w:after="0" w:line="240" w:lineRule="auto"/>
    </w:pPr>
  </w:style>
  <w:style w:type="character" w:customStyle="1" w:styleId="FooterChar">
    <w:name w:val="Footer Char"/>
    <w:basedOn w:val="DefaultParagraphFont"/>
    <w:link w:val="Footer"/>
    <w:uiPriority w:val="98"/>
    <w:rsid w:val="00663AB2"/>
  </w:style>
  <w:style w:type="paragraph" w:styleId="BalloonText">
    <w:name w:val="Balloon Text"/>
    <w:basedOn w:val="Normal"/>
    <w:link w:val="BalloonTextChar"/>
    <w:uiPriority w:val="98"/>
    <w:semiHidden/>
    <w:unhideWhenUsed/>
    <w:rsid w:val="00AF7F1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8"/>
    <w:semiHidden/>
    <w:rsid w:val="00663AB2"/>
    <w:rPr>
      <w:rFonts w:ascii="Lucida Grande" w:hAnsi="Lucida Grande" w:cs="Lucida Grande"/>
      <w:sz w:val="18"/>
      <w:szCs w:val="18"/>
    </w:rPr>
  </w:style>
  <w:style w:type="paragraph" w:customStyle="1" w:styleId="IntroHeading">
    <w:name w:val="Intro Heading"/>
    <w:autoRedefine/>
    <w:qFormat/>
    <w:rsid w:val="00E101C5"/>
    <w:pPr>
      <w:spacing w:before="240" w:after="120"/>
    </w:pPr>
    <w:rPr>
      <w:rFonts w:eastAsiaTheme="majorEastAsia" w:cs="Times New Roman"/>
      <w:b/>
      <w:bCs/>
      <w:color w:val="595959" w:themeColor="text1" w:themeTint="A6"/>
      <w:sz w:val="32"/>
      <w:szCs w:val="30"/>
    </w:rPr>
  </w:style>
  <w:style w:type="character" w:customStyle="1" w:styleId="IntroParagraphChar">
    <w:name w:val="Intro Paragraph Char"/>
    <w:basedOn w:val="DefaultParagraphFont"/>
    <w:link w:val="IntroParagraph"/>
    <w:rsid w:val="00DB073B"/>
    <w:rPr>
      <w:rFonts w:eastAsia="Times New Roman" w:cs="Times New Roman"/>
      <w:color w:val="7F7F7F" w:themeColor="text1" w:themeTint="80"/>
      <w:sz w:val="32"/>
      <w:szCs w:val="30"/>
    </w:rPr>
  </w:style>
  <w:style w:type="character" w:styleId="Hyperlink">
    <w:name w:val="Hyperlink"/>
    <w:rsid w:val="00FB5CA4"/>
    <w:rPr>
      <w:strike w:val="0"/>
      <w:dstrike w:val="0"/>
      <w:color w:val="3366CC"/>
      <w:u w:val="none"/>
      <w:effect w:val="none"/>
    </w:rPr>
  </w:style>
  <w:style w:type="paragraph" w:customStyle="1" w:styleId="DPCDate">
    <w:name w:val="DPC Date"/>
    <w:basedOn w:val="Heading1"/>
    <w:autoRedefine/>
    <w:rsid w:val="00A86F6C"/>
    <w:pPr>
      <w:spacing w:before="240" w:after="240"/>
    </w:pPr>
    <w:rPr>
      <w:b w:val="0"/>
    </w:rPr>
  </w:style>
  <w:style w:type="table" w:styleId="TableGrid">
    <w:name w:val="Table Grid"/>
    <w:basedOn w:val="TableNormal"/>
    <w:uiPriority w:val="59"/>
    <w:rsid w:val="00417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8"/>
    <w:rsid w:val="00EA4BCE"/>
    <w:rPr>
      <w:rFonts w:eastAsiaTheme="majorEastAsia" w:cstheme="majorBidi"/>
      <w:b/>
      <w:color w:val="000000" w:themeColor="text1"/>
      <w:szCs w:val="26"/>
    </w:rPr>
  </w:style>
  <w:style w:type="paragraph" w:styleId="Title">
    <w:name w:val="Title"/>
    <w:basedOn w:val="Normal"/>
    <w:next w:val="Normal"/>
    <w:link w:val="TitleChar"/>
    <w:autoRedefine/>
    <w:qFormat/>
    <w:rsid w:val="00F83567"/>
    <w:pPr>
      <w:spacing w:before="360" w:after="360" w:line="240" w:lineRule="auto"/>
      <w:contextualSpacing/>
    </w:pPr>
    <w:rPr>
      <w:rFonts w:eastAsiaTheme="majorEastAsia" w:cstheme="majorBidi"/>
      <w:b/>
      <w:color w:val="004B88"/>
      <w:spacing w:val="-10"/>
      <w:kern w:val="28"/>
      <w:sz w:val="52"/>
      <w:szCs w:val="56"/>
    </w:rPr>
  </w:style>
  <w:style w:type="character" w:customStyle="1" w:styleId="TitleChar">
    <w:name w:val="Title Char"/>
    <w:basedOn w:val="DefaultParagraphFont"/>
    <w:link w:val="Title"/>
    <w:rsid w:val="00AA6103"/>
    <w:rPr>
      <w:rFonts w:ascii="Arial" w:eastAsiaTheme="majorEastAsia" w:hAnsi="Arial" w:cstheme="majorBidi"/>
      <w:b/>
      <w:color w:val="004B88"/>
      <w:spacing w:val="-10"/>
      <w:kern w:val="28"/>
      <w:sz w:val="52"/>
      <w:szCs w:val="56"/>
    </w:rPr>
  </w:style>
  <w:style w:type="paragraph" w:styleId="ListParagraph">
    <w:name w:val="List Paragraph"/>
    <w:aliases w:val="Bullet Point List"/>
    <w:basedOn w:val="Normal"/>
    <w:link w:val="ListParagraphChar"/>
    <w:autoRedefine/>
    <w:uiPriority w:val="34"/>
    <w:qFormat/>
    <w:rsid w:val="00ED1D9E"/>
    <w:pPr>
      <w:numPr>
        <w:numId w:val="17"/>
      </w:numPr>
      <w:spacing w:after="120" w:line="240" w:lineRule="auto"/>
      <w:ind w:left="1418" w:hanging="284"/>
    </w:pPr>
  </w:style>
  <w:style w:type="character" w:customStyle="1" w:styleId="Heading3Char">
    <w:name w:val="Heading 3 Char"/>
    <w:basedOn w:val="DefaultParagraphFont"/>
    <w:link w:val="Heading3"/>
    <w:uiPriority w:val="8"/>
    <w:rsid w:val="00663AB2"/>
    <w:rPr>
      <w:rFonts w:asciiTheme="majorHAnsi" w:eastAsiaTheme="majorEastAsia" w:hAnsiTheme="majorHAnsi" w:cstheme="majorBidi"/>
      <w:color w:val="3F3F3F" w:themeColor="accent1" w:themeShade="7F"/>
    </w:rPr>
  </w:style>
  <w:style w:type="paragraph" w:customStyle="1" w:styleId="NormalText">
    <w:name w:val="Normal Text"/>
    <w:autoRedefine/>
    <w:rsid w:val="002F6E4E"/>
    <w:pPr>
      <w:spacing w:after="200" w:line="280" w:lineRule="exact"/>
      <w:ind w:right="34"/>
    </w:pPr>
    <w:rPr>
      <w:rFonts w:eastAsia="Times New Roman" w:cs="Times New Roman"/>
      <w:szCs w:val="20"/>
    </w:rPr>
  </w:style>
  <w:style w:type="table" w:customStyle="1" w:styleId="PlainTable21">
    <w:name w:val="Plain Table 21"/>
    <w:aliases w:val="DPC Grid Table"/>
    <w:basedOn w:val="TableNormal"/>
    <w:uiPriority w:val="99"/>
    <w:rsid w:val="00417C99"/>
    <w:pPr>
      <w:spacing w:before="80" w:after="80" w:line="280" w:lineRule="exact"/>
    </w:pPr>
    <w:tblPr>
      <w:tblStyleRowBandSize w:val="1"/>
      <w:tblStyleColBandSize w:val="1"/>
      <w:tblBorders>
        <w:top w:val="single" w:sz="12" w:space="0" w:color="auto"/>
        <w:bottom w:val="single" w:sz="6" w:space="0" w:color="auto"/>
        <w:insideH w:val="single" w:sz="6" w:space="0" w:color="BFBFBF" w:themeColor="background1" w:themeShade="BF"/>
        <w:insideV w:val="single" w:sz="6" w:space="0" w:color="BFBFBF" w:themeColor="background1" w:themeShade="BF"/>
      </w:tblBorders>
    </w:tblPr>
    <w:tblStylePr w:type="firstRow">
      <w:rPr>
        <w:rFonts w:ascii="Arial" w:hAnsi="Arial"/>
        <w:b/>
        <w:bCs/>
        <w:sz w:val="22"/>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NumberedList">
    <w:name w:val="Numbered List"/>
    <w:link w:val="NumberedListChar"/>
    <w:qFormat/>
    <w:rsid w:val="003E0EC1"/>
    <w:pPr>
      <w:numPr>
        <w:numId w:val="3"/>
      </w:numPr>
      <w:spacing w:before="200" w:after="240"/>
      <w:ind w:left="714" w:hanging="357"/>
    </w:pPr>
    <w:rPr>
      <w:rFonts w:eastAsia="Times New Roman" w:cs="Times New Roman"/>
      <w:bCs/>
      <w:noProof/>
    </w:rPr>
  </w:style>
  <w:style w:type="character" w:customStyle="1" w:styleId="NumberedListChar">
    <w:name w:val="Numbered List Char"/>
    <w:basedOn w:val="DefaultParagraphFont"/>
    <w:link w:val="NumberedList"/>
    <w:rsid w:val="003E0EC1"/>
    <w:rPr>
      <w:rFonts w:ascii="Arial" w:eastAsia="Times New Roman" w:hAnsi="Arial" w:cs="Times New Roman"/>
      <w:bCs/>
      <w:noProof/>
      <w:sz w:val="22"/>
      <w:szCs w:val="22"/>
    </w:rPr>
  </w:style>
  <w:style w:type="paragraph" w:styleId="TOCHeading">
    <w:name w:val="TOC Heading"/>
    <w:basedOn w:val="Heading1"/>
    <w:next w:val="Normal"/>
    <w:uiPriority w:val="38"/>
    <w:unhideWhenUsed/>
    <w:qFormat/>
    <w:rsid w:val="00E45F67"/>
    <w:pPr>
      <w:keepNext/>
      <w:keepLines/>
      <w:spacing w:before="240" w:after="0" w:line="259" w:lineRule="auto"/>
      <w:outlineLvl w:val="9"/>
    </w:pPr>
    <w:rPr>
      <w:rFonts w:asciiTheme="majorHAnsi" w:eastAsiaTheme="majorEastAsia" w:hAnsiTheme="majorHAnsi" w:cstheme="majorBidi"/>
      <w:b w:val="0"/>
      <w:bCs w:val="0"/>
      <w:noProof w:val="0"/>
      <w:color w:val="5F5F5F" w:themeColor="accent1" w:themeShade="BF"/>
      <w:sz w:val="32"/>
      <w:szCs w:val="32"/>
      <w:lang w:val="en-US"/>
    </w:rPr>
  </w:style>
  <w:style w:type="paragraph" w:styleId="TOC1">
    <w:name w:val="toc 1"/>
    <w:basedOn w:val="Normal"/>
    <w:next w:val="Normal"/>
    <w:link w:val="TOC1Char"/>
    <w:autoRedefine/>
    <w:uiPriority w:val="38"/>
    <w:unhideWhenUsed/>
    <w:rsid w:val="00AD26EE"/>
    <w:pPr>
      <w:spacing w:after="100"/>
    </w:pPr>
    <w:rPr>
      <w:b/>
    </w:rPr>
  </w:style>
  <w:style w:type="paragraph" w:styleId="TOC2">
    <w:name w:val="toc 2"/>
    <w:basedOn w:val="Normal"/>
    <w:next w:val="Normal"/>
    <w:autoRedefine/>
    <w:uiPriority w:val="38"/>
    <w:unhideWhenUsed/>
    <w:rsid w:val="00E45F67"/>
    <w:pPr>
      <w:spacing w:after="100"/>
      <w:ind w:left="220"/>
    </w:pPr>
  </w:style>
  <w:style w:type="paragraph" w:customStyle="1" w:styleId="TOCTitle">
    <w:name w:val="TOC Title"/>
    <w:basedOn w:val="TOC1"/>
    <w:link w:val="TOCTitleChar"/>
    <w:qFormat/>
    <w:rsid w:val="00933A1D"/>
    <w:pPr>
      <w:tabs>
        <w:tab w:val="right" w:leader="dot" w:pos="9629"/>
      </w:tabs>
    </w:pPr>
    <w:rPr>
      <w:b w:val="0"/>
      <w:noProof/>
      <w:sz w:val="28"/>
    </w:rPr>
  </w:style>
  <w:style w:type="paragraph" w:customStyle="1" w:styleId="Bold">
    <w:name w:val="Bold"/>
    <w:basedOn w:val="TOC1"/>
    <w:link w:val="BoldChar"/>
    <w:autoRedefine/>
    <w:qFormat/>
    <w:rsid w:val="00AD26EE"/>
    <w:pPr>
      <w:tabs>
        <w:tab w:val="right" w:leader="dot" w:pos="9629"/>
      </w:tabs>
    </w:pPr>
    <w:rPr>
      <w:noProof/>
      <w:sz w:val="28"/>
    </w:rPr>
  </w:style>
  <w:style w:type="character" w:customStyle="1" w:styleId="TOC1Char">
    <w:name w:val="TOC 1 Char"/>
    <w:basedOn w:val="DefaultParagraphFont"/>
    <w:link w:val="TOC1"/>
    <w:uiPriority w:val="38"/>
    <w:rsid w:val="00663AB2"/>
    <w:rPr>
      <w:b/>
    </w:rPr>
  </w:style>
  <w:style w:type="character" w:customStyle="1" w:styleId="TOCTitleChar">
    <w:name w:val="TOC Title Char"/>
    <w:basedOn w:val="TOC1Char"/>
    <w:link w:val="TOCTitle"/>
    <w:rsid w:val="00933A1D"/>
    <w:rPr>
      <w:rFonts w:ascii="Arial" w:eastAsia="Times New Roman" w:hAnsi="Arial" w:cs="Times New Roman"/>
      <w:b w:val="0"/>
      <w:noProof/>
      <w:sz w:val="28"/>
    </w:rPr>
  </w:style>
  <w:style w:type="character" w:customStyle="1" w:styleId="BoldChar">
    <w:name w:val="Bold Char"/>
    <w:basedOn w:val="TOC1Char"/>
    <w:link w:val="Bold"/>
    <w:rsid w:val="00AD26EE"/>
    <w:rPr>
      <w:rFonts w:ascii="Arial" w:hAnsi="Arial"/>
      <w:b/>
      <w:noProof/>
      <w:sz w:val="28"/>
    </w:rPr>
  </w:style>
  <w:style w:type="paragraph" w:customStyle="1" w:styleId="TOCHeading1">
    <w:name w:val="TOC Heading 1"/>
    <w:basedOn w:val="TOC1"/>
    <w:link w:val="TOCHeading1Char"/>
    <w:qFormat/>
    <w:rsid w:val="00933A1D"/>
    <w:pPr>
      <w:tabs>
        <w:tab w:val="right" w:leader="dot" w:pos="9770"/>
      </w:tabs>
    </w:pPr>
    <w:rPr>
      <w:b w:val="0"/>
      <w:noProof/>
    </w:rPr>
  </w:style>
  <w:style w:type="paragraph" w:customStyle="1" w:styleId="TOCHeading2">
    <w:name w:val="TOC Heading 2"/>
    <w:basedOn w:val="TOC1"/>
    <w:link w:val="TOCHeading2Char"/>
    <w:qFormat/>
    <w:rsid w:val="00933A1D"/>
    <w:pPr>
      <w:tabs>
        <w:tab w:val="right" w:leader="dot" w:pos="9770"/>
      </w:tabs>
    </w:pPr>
  </w:style>
  <w:style w:type="character" w:customStyle="1" w:styleId="TOCHeading1Char">
    <w:name w:val="TOC Heading 1 Char"/>
    <w:basedOn w:val="TOC1Char"/>
    <w:link w:val="TOCHeading1"/>
    <w:rsid w:val="00933A1D"/>
    <w:rPr>
      <w:rFonts w:ascii="Arial" w:eastAsia="Times New Roman" w:hAnsi="Arial" w:cs="Times New Roman"/>
      <w:b w:val="0"/>
      <w:noProof/>
      <w:sz w:val="22"/>
    </w:rPr>
  </w:style>
  <w:style w:type="character" w:customStyle="1" w:styleId="TOCHeading2Char">
    <w:name w:val="TOC Heading 2 Char"/>
    <w:basedOn w:val="TOC1Char"/>
    <w:link w:val="TOCHeading2"/>
    <w:rsid w:val="00933A1D"/>
    <w:rPr>
      <w:rFonts w:ascii="Arial" w:eastAsia="Times New Roman" w:hAnsi="Arial" w:cs="Times New Roman"/>
      <w:b/>
      <w:sz w:val="22"/>
    </w:rPr>
  </w:style>
  <w:style w:type="paragraph" w:customStyle="1" w:styleId="TableHeading1">
    <w:name w:val="Table Heading 1"/>
    <w:link w:val="TableHeading1Char"/>
    <w:qFormat/>
    <w:rsid w:val="005079A5"/>
    <w:pPr>
      <w:spacing w:before="120" w:after="120"/>
    </w:pPr>
    <w:rPr>
      <w:rFonts w:ascii="Arial Bold" w:eastAsia="Times New Roman" w:hAnsi="Arial Bold" w:cs="Times New Roman"/>
      <w:b/>
      <w:bCs/>
      <w:noProof/>
    </w:rPr>
  </w:style>
  <w:style w:type="paragraph" w:customStyle="1" w:styleId="TableHeading2">
    <w:name w:val="Table Heading 2"/>
    <w:link w:val="TableHeading2Char"/>
    <w:rsid w:val="00E83FBC"/>
    <w:pPr>
      <w:framePr w:hSpace="180" w:wrap="around" w:vAnchor="text" w:hAnchor="text" w:y="1"/>
      <w:spacing w:before="240" w:after="240"/>
      <w:suppressOverlap/>
    </w:pPr>
    <w:rPr>
      <w:rFonts w:eastAsia="Times New Roman" w:cs="Times New Roman"/>
      <w:b/>
      <w:szCs w:val="20"/>
    </w:rPr>
  </w:style>
  <w:style w:type="character" w:customStyle="1" w:styleId="TableHeading1Char">
    <w:name w:val="Table Heading 1 Char"/>
    <w:basedOn w:val="DefaultParagraphFont"/>
    <w:link w:val="TableHeading1"/>
    <w:rsid w:val="005079A5"/>
    <w:rPr>
      <w:rFonts w:ascii="Arial Bold" w:eastAsia="Times New Roman" w:hAnsi="Arial Bold" w:cs="Times New Roman"/>
      <w:b/>
      <w:bCs/>
      <w:noProof/>
    </w:rPr>
  </w:style>
  <w:style w:type="character" w:customStyle="1" w:styleId="TableHeading2Char">
    <w:name w:val="Table Heading 2 Char"/>
    <w:basedOn w:val="DefaultParagraphFont"/>
    <w:link w:val="TableHeading2"/>
    <w:rsid w:val="00E83FBC"/>
    <w:rPr>
      <w:rFonts w:eastAsia="Times New Roman" w:cs="Times New Roman"/>
      <w:b/>
      <w:szCs w:val="20"/>
    </w:rPr>
  </w:style>
  <w:style w:type="paragraph" w:customStyle="1" w:styleId="DecimalAligned">
    <w:name w:val="Decimal Aligned"/>
    <w:basedOn w:val="Normal"/>
    <w:uiPriority w:val="40"/>
    <w:qFormat/>
    <w:rsid w:val="008005B5"/>
    <w:pPr>
      <w:tabs>
        <w:tab w:val="decimal" w:pos="360"/>
      </w:tabs>
      <w:spacing w:line="276" w:lineRule="auto"/>
    </w:pPr>
    <w:rPr>
      <w:rFonts w:asciiTheme="minorHAnsi" w:hAnsiTheme="minorHAnsi" w:cs="Times New Roman"/>
      <w:lang w:val="en-US"/>
    </w:rPr>
  </w:style>
  <w:style w:type="paragraph" w:styleId="FootnoteText">
    <w:name w:val="footnote text"/>
    <w:basedOn w:val="Normal"/>
    <w:link w:val="FootnoteTextChar"/>
    <w:uiPriority w:val="99"/>
    <w:unhideWhenUsed/>
    <w:rsid w:val="008005B5"/>
    <w:pPr>
      <w:spacing w:after="0" w:line="240" w:lineRule="auto"/>
    </w:pPr>
    <w:rPr>
      <w:rFonts w:asciiTheme="minorHAnsi" w:hAnsiTheme="minorHAnsi" w:cs="Times New Roman"/>
      <w:sz w:val="20"/>
      <w:szCs w:val="20"/>
      <w:lang w:val="en-US"/>
    </w:rPr>
  </w:style>
  <w:style w:type="character" w:customStyle="1" w:styleId="FootnoteTextChar">
    <w:name w:val="Footnote Text Char"/>
    <w:basedOn w:val="DefaultParagraphFont"/>
    <w:link w:val="FootnoteText"/>
    <w:uiPriority w:val="99"/>
    <w:rsid w:val="008005B5"/>
    <w:rPr>
      <w:rFonts w:asciiTheme="minorHAnsi" w:hAnsiTheme="minorHAnsi" w:cs="Times New Roman"/>
      <w:sz w:val="20"/>
      <w:szCs w:val="20"/>
      <w:lang w:val="en-US"/>
    </w:rPr>
  </w:style>
  <w:style w:type="character" w:styleId="SubtleEmphasis">
    <w:name w:val="Subtle Emphasis"/>
    <w:basedOn w:val="DefaultParagraphFont"/>
    <w:uiPriority w:val="19"/>
    <w:qFormat/>
    <w:rsid w:val="008005B5"/>
    <w:rPr>
      <w:i/>
      <w:iCs/>
    </w:rPr>
  </w:style>
  <w:style w:type="table" w:styleId="LightShading-Accent1">
    <w:name w:val="Light Shading Accent 1"/>
    <w:basedOn w:val="TableNormal"/>
    <w:uiPriority w:val="60"/>
    <w:rsid w:val="008005B5"/>
    <w:rPr>
      <w:rFonts w:asciiTheme="minorHAnsi" w:hAnsiTheme="minorHAnsi"/>
      <w:color w:val="5F5F5F" w:themeColor="accent1" w:themeShade="BF"/>
      <w:lang w:val="en-US"/>
    </w:rPr>
    <w:tblPr>
      <w:tblStyleRowBandSize w:val="1"/>
      <w:tblStyleColBandSize w:val="1"/>
      <w:tblBorders>
        <w:top w:val="single" w:sz="8" w:space="0" w:color="7F7F7F" w:themeColor="accent1"/>
        <w:bottom w:val="single" w:sz="8" w:space="0" w:color="7F7F7F" w:themeColor="accent1"/>
      </w:tblBorders>
    </w:tblPr>
    <w:tblStylePr w:type="firstRow">
      <w:pPr>
        <w:spacing w:before="0" w:after="0" w:line="240" w:lineRule="auto"/>
      </w:pPr>
      <w:rPr>
        <w:b/>
        <w:bCs/>
      </w:rPr>
      <w:tblPr/>
      <w:tcPr>
        <w:tcBorders>
          <w:top w:val="single" w:sz="8" w:space="0" w:color="7F7F7F" w:themeColor="accent1"/>
          <w:left w:val="nil"/>
          <w:bottom w:val="single" w:sz="8" w:space="0" w:color="7F7F7F" w:themeColor="accent1"/>
          <w:right w:val="nil"/>
          <w:insideH w:val="nil"/>
          <w:insideV w:val="nil"/>
        </w:tcBorders>
      </w:tcPr>
    </w:tblStylePr>
    <w:tblStylePr w:type="lastRow">
      <w:pPr>
        <w:spacing w:before="0" w:after="0" w:line="240" w:lineRule="auto"/>
      </w:pPr>
      <w:rPr>
        <w:b/>
        <w:bCs/>
      </w:rPr>
      <w:tblPr/>
      <w:tcPr>
        <w:tcBorders>
          <w:top w:val="single" w:sz="8" w:space="0" w:color="7F7F7F" w:themeColor="accent1"/>
          <w:left w:val="nil"/>
          <w:bottom w:val="single" w:sz="8" w:space="0" w:color="7F7F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1" w:themeFillTint="3F"/>
      </w:tcPr>
    </w:tblStylePr>
    <w:tblStylePr w:type="band1Horz">
      <w:tblPr/>
      <w:tcPr>
        <w:tcBorders>
          <w:left w:val="nil"/>
          <w:right w:val="nil"/>
          <w:insideH w:val="nil"/>
          <w:insideV w:val="nil"/>
        </w:tcBorders>
        <w:shd w:val="clear" w:color="auto" w:fill="DFDFDF" w:themeFill="accent1" w:themeFillTint="3F"/>
      </w:tcPr>
    </w:tblStylePr>
  </w:style>
  <w:style w:type="table" w:customStyle="1" w:styleId="TableGrid1">
    <w:name w:val="Table Grid1"/>
    <w:basedOn w:val="TableNormal"/>
    <w:next w:val="TableGrid"/>
    <w:uiPriority w:val="59"/>
    <w:rsid w:val="009D7D9A"/>
    <w:rPr>
      <w:rFonts w:eastAsia="MS Mincho"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61">
    <w:name w:val="Grid Table 1 Light - Accent 61"/>
    <w:basedOn w:val="TableNormal"/>
    <w:uiPriority w:val="46"/>
    <w:rsid w:val="000A7301"/>
    <w:tblPr>
      <w:tblStyleRowBandSize w:val="1"/>
      <w:tblStyleColBandSize w:val="1"/>
      <w:tblBorders>
        <w:top w:val="single" w:sz="4" w:space="0" w:color="69BBFF" w:themeColor="accent6" w:themeTint="66"/>
        <w:left w:val="single" w:sz="4" w:space="0" w:color="69BBFF" w:themeColor="accent6" w:themeTint="66"/>
        <w:bottom w:val="single" w:sz="4" w:space="0" w:color="69BBFF" w:themeColor="accent6" w:themeTint="66"/>
        <w:right w:val="single" w:sz="4" w:space="0" w:color="69BBFF" w:themeColor="accent6" w:themeTint="66"/>
        <w:insideH w:val="single" w:sz="4" w:space="0" w:color="69BBFF" w:themeColor="accent6" w:themeTint="66"/>
        <w:insideV w:val="single" w:sz="4" w:space="0" w:color="69BBFF" w:themeColor="accent6" w:themeTint="66"/>
      </w:tblBorders>
    </w:tblPr>
    <w:tblStylePr w:type="firstRow">
      <w:rPr>
        <w:b/>
        <w:bCs/>
      </w:rPr>
      <w:tblPr/>
      <w:tcPr>
        <w:tcBorders>
          <w:bottom w:val="single" w:sz="12" w:space="0" w:color="1E99FF" w:themeColor="accent6" w:themeTint="99"/>
        </w:tcBorders>
      </w:tcPr>
    </w:tblStylePr>
    <w:tblStylePr w:type="lastRow">
      <w:rPr>
        <w:b/>
        <w:bCs/>
      </w:rPr>
      <w:tblPr/>
      <w:tcPr>
        <w:tcBorders>
          <w:top w:val="double" w:sz="2" w:space="0" w:color="1E99FF" w:themeColor="accent6" w:themeTint="99"/>
        </w:tcBorders>
      </w:tcPr>
    </w:tblStylePr>
    <w:tblStylePr w:type="firstCol">
      <w:rPr>
        <w:b/>
        <w:bCs/>
      </w:rPr>
    </w:tblStylePr>
    <w:tblStylePr w:type="lastCol">
      <w:rPr>
        <w:b/>
        <w:bCs/>
      </w:rPr>
    </w:tblStylePr>
  </w:style>
  <w:style w:type="table" w:customStyle="1" w:styleId="DPCVerticalTable">
    <w:name w:val="DPC Vertical Table"/>
    <w:basedOn w:val="TableNormal"/>
    <w:uiPriority w:val="99"/>
    <w:rsid w:val="00143C32"/>
    <w:pPr>
      <w:spacing w:before="120" w:after="120"/>
    </w:pPr>
    <w:tblPr>
      <w:tblBorders>
        <w:top w:val="single" w:sz="4" w:space="0" w:color="auto"/>
        <w:bottom w:val="single" w:sz="6" w:space="0" w:color="auto"/>
        <w:insideV w:val="single" w:sz="6" w:space="0" w:color="BFBFBF" w:themeColor="background1" w:themeShade="BF"/>
      </w:tblBorders>
    </w:tblPr>
    <w:tcPr>
      <w:shd w:val="clear" w:color="auto" w:fill="auto"/>
    </w:tcPr>
    <w:tblStylePr w:type="firstRow">
      <w:pPr>
        <w:wordWrap/>
        <w:spacing w:beforeLines="0" w:before="120" w:beforeAutospacing="0" w:afterLines="0" w:after="120" w:afterAutospacing="0"/>
        <w:jc w:val="left"/>
      </w:pPr>
      <w:rPr>
        <w:rFonts w:ascii="Arial" w:hAnsi="Arial"/>
        <w:b/>
        <w:color w:val="000000" w:themeColor="text1"/>
        <w:sz w:val="22"/>
      </w:rPr>
      <w:tblPr/>
      <w:tcPr>
        <w:tcBorders>
          <w:top w:val="single" w:sz="12" w:space="0" w:color="auto"/>
          <w:bottom w:val="nil"/>
        </w:tcBorders>
        <w:vAlign w:val="center"/>
      </w:tcPr>
    </w:tblStylePr>
    <w:tblStylePr w:type="lastRow">
      <w:tblPr/>
      <w:tcPr>
        <w:tcBorders>
          <w:bottom w:val="nil"/>
        </w:tcBorders>
      </w:tcPr>
    </w:tblStylePr>
    <w:tblStylePr w:type="firstCol">
      <w:rPr>
        <w:rFonts w:ascii="Arial" w:hAnsi="Arial"/>
        <w:b/>
        <w:sz w:val="22"/>
      </w:rPr>
    </w:tblStylePr>
  </w:style>
  <w:style w:type="table" w:styleId="TableTheme">
    <w:name w:val="Table Theme"/>
    <w:basedOn w:val="TableNormal"/>
    <w:uiPriority w:val="99"/>
    <w:semiHidden/>
    <w:unhideWhenUsed/>
    <w:rsid w:val="008915D1"/>
    <w:pPr>
      <w:spacing w:after="200" w:line="28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99"/>
    <w:rsid w:val="00417C9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DPCTable2">
    <w:name w:val="DPC Table 2"/>
    <w:basedOn w:val="TableTheme"/>
    <w:uiPriority w:val="99"/>
    <w:rsid w:val="00084360"/>
    <w:pPr>
      <w:spacing w:before="80" w:after="80" w:line="240" w:lineRule="auto"/>
    </w:pPr>
    <w:rPr>
      <w:color w:val="000000" w:themeColor="text1"/>
      <w:szCs w:val="20"/>
      <w:lang w:eastAsia="en-AU"/>
    </w:rPr>
    <w:tblPr>
      <w:tblBorders>
        <w:top w:val="single" w:sz="12" w:space="0" w:color="auto"/>
        <w:left w:val="none" w:sz="0" w:space="0" w:color="auto"/>
        <w:bottom w:val="single" w:sz="8" w:space="0" w:color="auto"/>
        <w:right w:val="none" w:sz="0" w:space="0" w:color="auto"/>
        <w:insideH w:val="single" w:sz="4" w:space="0" w:color="BFBFBF" w:themeColor="background1" w:themeShade="BF"/>
        <w:insideV w:val="none" w:sz="0" w:space="0" w:color="auto"/>
      </w:tblBorders>
    </w:tblPr>
    <w:tblStylePr w:type="firstRow">
      <w:pPr>
        <w:wordWrap/>
        <w:spacing w:beforeLines="0" w:before="120" w:beforeAutospacing="0" w:afterLines="0" w:after="120" w:afterAutospacing="0" w:line="240" w:lineRule="auto"/>
        <w:jc w:val="left"/>
        <w:outlineLvl w:val="9"/>
      </w:pPr>
      <w:rPr>
        <w:rFonts w:ascii="Arial" w:hAnsi="Arial"/>
        <w:b/>
        <w:sz w:val="22"/>
      </w:rPr>
      <w:tblPr/>
      <w:tcPr>
        <w:tcBorders>
          <w:top w:val="single" w:sz="12" w:space="0" w:color="auto"/>
          <w:left w:val="nil"/>
          <w:bottom w:val="single" w:sz="4" w:space="0" w:color="BFBFBF" w:themeColor="background1" w:themeShade="BF"/>
          <w:right w:val="nil"/>
          <w:insideH w:val="nil"/>
          <w:insideV w:val="nil"/>
          <w:tl2br w:val="nil"/>
          <w:tr2bl w:val="nil"/>
        </w:tcBorders>
        <w:shd w:val="clear" w:color="auto" w:fill="E5E5E5" w:themeFill="accent4" w:themeFillTint="33"/>
      </w:tcPr>
    </w:tblStylePr>
  </w:style>
  <w:style w:type="table" w:customStyle="1" w:styleId="DPCTable1">
    <w:name w:val="DPC Table 1"/>
    <w:basedOn w:val="TableNormal"/>
    <w:uiPriority w:val="99"/>
    <w:rsid w:val="00084360"/>
    <w:pPr>
      <w:spacing w:before="80" w:after="80"/>
    </w:pPr>
    <w:tblPr>
      <w:tblBorders>
        <w:top w:val="single" w:sz="8" w:space="0" w:color="BFBFBF" w:themeColor="background1" w:themeShade="BF"/>
        <w:bottom w:val="single" w:sz="8" w:space="0" w:color="auto"/>
        <w:insideH w:val="single" w:sz="4" w:space="0" w:color="BFBFBF" w:themeColor="background1" w:themeShade="BF"/>
      </w:tblBorders>
    </w:tblPr>
    <w:tblStylePr w:type="firstRow">
      <w:rPr>
        <w:rFonts w:ascii="Arial" w:hAnsi="Arial"/>
        <w:b/>
        <w:sz w:val="22"/>
      </w:rPr>
      <w:tblPr/>
      <w:tcPr>
        <w:tcBorders>
          <w:top w:val="single" w:sz="12" w:space="0" w:color="auto"/>
          <w:left w:val="nil"/>
          <w:bottom w:val="nil"/>
          <w:right w:val="nil"/>
          <w:insideH w:val="nil"/>
          <w:insideV w:val="nil"/>
        </w:tcBorders>
      </w:tcPr>
    </w:tblStylePr>
  </w:style>
  <w:style w:type="paragraph" w:customStyle="1" w:styleId="ContactsBlock">
    <w:name w:val="Contacts Block"/>
    <w:basedOn w:val="Normal"/>
    <w:link w:val="ContactsBlockChar"/>
    <w:qFormat/>
    <w:rsid w:val="00084360"/>
    <w:pPr>
      <w:spacing w:after="60" w:line="240" w:lineRule="auto"/>
    </w:pPr>
    <w:rPr>
      <w:rFonts w:eastAsia="MS Mincho" w:cs="Times New Roman"/>
      <w:sz w:val="20"/>
      <w:szCs w:val="20"/>
    </w:rPr>
  </w:style>
  <w:style w:type="character" w:customStyle="1" w:styleId="ContactsBlockChar">
    <w:name w:val="Contacts Block Char"/>
    <w:basedOn w:val="DefaultParagraphFont"/>
    <w:link w:val="ContactsBlock"/>
    <w:rsid w:val="00084360"/>
    <w:rPr>
      <w:rFonts w:eastAsia="MS Mincho" w:cs="Times New Roman"/>
      <w:sz w:val="20"/>
      <w:szCs w:val="20"/>
    </w:rPr>
  </w:style>
  <w:style w:type="paragraph" w:customStyle="1" w:styleId="TableTitle">
    <w:name w:val="Table Title"/>
    <w:link w:val="TableTitleChar"/>
    <w:qFormat/>
    <w:rsid w:val="00084360"/>
    <w:pPr>
      <w:spacing w:after="120"/>
    </w:pPr>
    <w:rPr>
      <w:rFonts w:eastAsia="Times New Roman" w:cs="Times New Roman"/>
      <w:b/>
      <w:bCs/>
      <w:noProof/>
      <w:color w:val="404040" w:themeColor="text1" w:themeTint="BF"/>
      <w:sz w:val="24"/>
    </w:rPr>
  </w:style>
  <w:style w:type="table" w:customStyle="1" w:styleId="TableGrid2">
    <w:name w:val="Table Grid2"/>
    <w:basedOn w:val="TableNormal"/>
    <w:next w:val="TableGrid"/>
    <w:uiPriority w:val="59"/>
    <w:rsid w:val="000843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itleChar">
    <w:name w:val="Table Title Char"/>
    <w:basedOn w:val="DefaultParagraphFont"/>
    <w:link w:val="TableTitle"/>
    <w:rsid w:val="00084360"/>
    <w:rPr>
      <w:rFonts w:eastAsia="Times New Roman" w:cs="Times New Roman"/>
      <w:b/>
      <w:bCs/>
      <w:noProof/>
      <w:color w:val="404040" w:themeColor="text1" w:themeTint="BF"/>
      <w:sz w:val="24"/>
    </w:rPr>
  </w:style>
  <w:style w:type="paragraph" w:customStyle="1" w:styleId="Pagenumbers">
    <w:name w:val="Page numbers"/>
    <w:basedOn w:val="Normal"/>
    <w:link w:val="PagenumbersChar"/>
    <w:qFormat/>
    <w:rsid w:val="00084360"/>
    <w:pPr>
      <w:spacing w:after="0" w:line="240" w:lineRule="auto"/>
    </w:pPr>
    <w:rPr>
      <w:sz w:val="18"/>
      <w:szCs w:val="18"/>
    </w:rPr>
  </w:style>
  <w:style w:type="character" w:customStyle="1" w:styleId="PagenumbersChar">
    <w:name w:val="Page numbers Char"/>
    <w:basedOn w:val="DefaultParagraphFont"/>
    <w:link w:val="Pagenumbers"/>
    <w:rsid w:val="00084360"/>
    <w:rPr>
      <w:sz w:val="18"/>
      <w:szCs w:val="18"/>
    </w:rPr>
  </w:style>
  <w:style w:type="paragraph" w:customStyle="1" w:styleId="TableText">
    <w:name w:val="Table Text"/>
    <w:link w:val="TableTextChar"/>
    <w:qFormat/>
    <w:rsid w:val="00084360"/>
    <w:pPr>
      <w:spacing w:before="80" w:after="80"/>
    </w:pPr>
    <w:rPr>
      <w:color w:val="000000" w:themeColor="text1"/>
      <w:szCs w:val="20"/>
      <w:lang w:eastAsia="en-AU"/>
    </w:rPr>
  </w:style>
  <w:style w:type="character" w:customStyle="1" w:styleId="TableTextChar">
    <w:name w:val="Table Text Char"/>
    <w:basedOn w:val="DefaultParagraphFont"/>
    <w:link w:val="TableText"/>
    <w:rsid w:val="00084360"/>
    <w:rPr>
      <w:color w:val="000000" w:themeColor="text1"/>
      <w:szCs w:val="20"/>
      <w:lang w:eastAsia="en-AU"/>
    </w:rPr>
  </w:style>
  <w:style w:type="character" w:customStyle="1" w:styleId="ListParagraphChar">
    <w:name w:val="List Paragraph Char"/>
    <w:aliases w:val="Bullet Point List Char"/>
    <w:link w:val="ListParagraph"/>
    <w:uiPriority w:val="34"/>
    <w:rsid w:val="00ED1D9E"/>
    <w:rPr>
      <w:sz w:val="24"/>
      <w:szCs w:val="24"/>
    </w:rPr>
  </w:style>
  <w:style w:type="character" w:styleId="FollowedHyperlink">
    <w:name w:val="FollowedHyperlink"/>
    <w:basedOn w:val="DefaultParagraphFont"/>
    <w:uiPriority w:val="98"/>
    <w:semiHidden/>
    <w:unhideWhenUsed/>
    <w:rsid w:val="00106F61"/>
    <w:rPr>
      <w:color w:val="7F7F7F" w:themeColor="followedHyperlink"/>
      <w:u w:val="single"/>
    </w:rPr>
  </w:style>
  <w:style w:type="character" w:customStyle="1" w:styleId="ilfuvd">
    <w:name w:val="ilfuvd"/>
    <w:basedOn w:val="DefaultParagraphFont"/>
    <w:rsid w:val="004F7B91"/>
  </w:style>
  <w:style w:type="character" w:customStyle="1" w:styleId="UnresolvedMention1">
    <w:name w:val="Unresolved Mention1"/>
    <w:basedOn w:val="DefaultParagraphFont"/>
    <w:uiPriority w:val="99"/>
    <w:semiHidden/>
    <w:unhideWhenUsed/>
    <w:rsid w:val="00E17C7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5912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umanrights.gov.au/world-wide-web-access-disability-discrimination-act-advisory-notes-ver-41-2014" TargetMode="External"/><Relationship Id="rId18" Type="http://schemas.openxmlformats.org/officeDocument/2006/relationships/hyperlink" Target="https://www.dss.gov.au/our-responsibilities/disability-and-carers/publications-articles/policy-research/national-disability-strategy-2010-2020" TargetMode="External"/><Relationship Id="rId26" Type="http://schemas.openxmlformats.org/officeDocument/2006/relationships/hyperlink" Target="https://www.w3.org/TR/WCAG21/" TargetMode="External"/><Relationship Id="rId39" Type="http://schemas.openxmlformats.org/officeDocument/2006/relationships/hyperlink" Target="https://www.sa.gov.au/editors/project-dashboard/projects/live/basic-web-content-accessibility-testing" TargetMode="External"/><Relationship Id="rId21" Type="http://schemas.openxmlformats.org/officeDocument/2006/relationships/hyperlink" Target="https://www.w3.org/TR/WCAG20/" TargetMode="External"/><Relationship Id="rId34" Type="http://schemas.openxmlformats.org/officeDocument/2006/relationships/hyperlink" Target="https://www.legislation.sa.gov.au/LZ/C/A/DISABILITY%20INCLUSION%20ACT%202018.aspx" TargetMode="External"/><Relationship Id="rId42" Type="http://schemas.openxmlformats.org/officeDocument/2006/relationships/footer" Target="footer2.xml"/><Relationship Id="rId47" Type="http://schemas.openxmlformats.org/officeDocument/2006/relationships/customXml" Target="../customXml/item5.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un.org/development/desa/disabilities/convention-on-the-rights-of-persons-with-disabilities/article-9-accessibility.html" TargetMode="External"/><Relationship Id="rId29" Type="http://schemas.openxmlformats.org/officeDocument/2006/relationships/hyperlink" Target="https://guides.service.gov.au/content-guide/accessibility-inclusivity/"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igital.sa.gov.au/resources/topic/digital-government/digital-default-declaration" TargetMode="External"/><Relationship Id="rId24" Type="http://schemas.openxmlformats.org/officeDocument/2006/relationships/hyperlink" Target="http://www.w3.org/WAI/WCAG21/quickref/?versions=2.0" TargetMode="External"/><Relationship Id="rId32" Type="http://schemas.openxmlformats.org/officeDocument/2006/relationships/hyperlink" Target="http://mandate376.standards.eu/standard" TargetMode="External"/><Relationship Id="rId37" Type="http://schemas.openxmlformats.org/officeDocument/2006/relationships/hyperlink" Target="https://infostore.saiglobal.com/store/PreviewDoc.aspx?saleItemID=2973652" TargetMode="External"/><Relationship Id="rId40" Type="http://schemas.openxmlformats.org/officeDocument/2006/relationships/footer" Target="footer1.xml"/><Relationship Id="rId45"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yperlink" Target="https://www.un.org/development/desa/disabilities/convention-on-the-rights-of-persons-with-disabilities.html" TargetMode="External"/><Relationship Id="rId23" Type="http://schemas.openxmlformats.org/officeDocument/2006/relationships/hyperlink" Target="https://www.w3.org/TR/WCAG20/" TargetMode="External"/><Relationship Id="rId28" Type="http://schemas.openxmlformats.org/officeDocument/2006/relationships/hyperlink" Target="https://www.w3.org/TR/WCAG20/" TargetMode="External"/><Relationship Id="rId36" Type="http://schemas.openxmlformats.org/officeDocument/2006/relationships/hyperlink" Target="https://www.financeminister.gov.au/media-release/2016/08/22/access-technology-made-easier" TargetMode="External"/><Relationship Id="rId10" Type="http://schemas.openxmlformats.org/officeDocument/2006/relationships/hyperlink" Target="https://www.legislation.sa.gov.au/LZ/C/A/DISABILITY%20INCLUSION%20ACT%202018.aspx" TargetMode="External"/><Relationship Id="rId19" Type="http://schemas.openxmlformats.org/officeDocument/2006/relationships/hyperlink" Target="https://www.legislation.sa.gov.au/LZ/C/A/DISABILITY%20INCLUSION%20ACT%202018.aspx" TargetMode="External"/><Relationship Id="rId31" Type="http://schemas.openxmlformats.org/officeDocument/2006/relationships/hyperlink" Target="https://infostore.saiglobal.com/store/PreviewDoc.aspx?saleItemID=2973652" TargetMode="Externa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legislation.gov.au/series/c2004a04426" TargetMode="External"/><Relationship Id="rId14" Type="http://schemas.openxmlformats.org/officeDocument/2006/relationships/hyperlink" Target="http://www.finance.gov.au/publications/wcag-2-implementation/" TargetMode="External"/><Relationship Id="rId22" Type="http://schemas.openxmlformats.org/officeDocument/2006/relationships/hyperlink" Target="https://www.w3.org/TR/WCAG21/" TargetMode="External"/><Relationship Id="rId27" Type="http://schemas.openxmlformats.org/officeDocument/2006/relationships/hyperlink" Target="https://www.w3.org/TR/mobile-accessibility-mapping/" TargetMode="External"/><Relationship Id="rId30" Type="http://schemas.openxmlformats.org/officeDocument/2006/relationships/hyperlink" Target="https://dpc.sa.gov.au/__data/assets/pdf_file/0019/39160/PCO13-Annual-Reporting-2017-18.pdf" TargetMode="External"/><Relationship Id="rId35" Type="http://schemas.openxmlformats.org/officeDocument/2006/relationships/hyperlink" Target="http://dhs.sa.gov.au/services/disability-sa/disability-access-and-inclusion-plans" TargetMode="External"/><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www.legislation.sa.gov.au/LZ/C/A/Equal%20Opportunity%20Act%201984.aspx" TargetMode="External"/><Relationship Id="rId17" Type="http://schemas.openxmlformats.org/officeDocument/2006/relationships/hyperlink" Target="https://www.un.org/development/desa/disabilities/convention-on-the-rights-of-persons-with-disabilities/article-21-freedom-of-expression-and-opinion-and-access-to-information.html" TargetMode="External"/><Relationship Id="rId25" Type="http://schemas.openxmlformats.org/officeDocument/2006/relationships/hyperlink" Target="https://guides.service.gov.au/content-guide/accessibility-inclusivity/" TargetMode="External"/><Relationship Id="rId33" Type="http://schemas.openxmlformats.org/officeDocument/2006/relationships/hyperlink" Target="https://www.dta.gov.au/standard/9-make-it-accessible/" TargetMode="External"/><Relationship Id="rId38" Type="http://schemas.openxmlformats.org/officeDocument/2006/relationships/hyperlink" Target="http://mandate376.standards.eu/standard" TargetMode="External"/><Relationship Id="rId46" Type="http://schemas.openxmlformats.org/officeDocument/2006/relationships/customXml" Target="../customXml/item4.xml"/><Relationship Id="rId20" Type="http://schemas.openxmlformats.org/officeDocument/2006/relationships/hyperlink" Target="https://www.un.org/development/desa/disabilities/convention-on-the-rights-of-persons-with-disabilities.html" TargetMode="External"/><Relationship Id="rId41"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4B88"/>
      </a:dk2>
      <a:lt2>
        <a:srgbClr val="FFFFFF"/>
      </a:lt2>
      <a:accent1>
        <a:srgbClr val="7F7F7F"/>
      </a:accent1>
      <a:accent2>
        <a:srgbClr val="3F3F3F"/>
      </a:accent2>
      <a:accent3>
        <a:srgbClr val="595959"/>
      </a:accent3>
      <a:accent4>
        <a:srgbClr val="7F7F7F"/>
      </a:accent4>
      <a:accent5>
        <a:srgbClr val="7F7F7F"/>
      </a:accent5>
      <a:accent6>
        <a:srgbClr val="004B88"/>
      </a:accent6>
      <a:hlink>
        <a:srgbClr val="004B88"/>
      </a:hlink>
      <a:folHlink>
        <a:srgbClr val="7F7F7F"/>
      </a:folHlink>
    </a:clrScheme>
    <a:fontScheme name="DPC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7308B0169B604BF78408B4824B579E8E" version="1.0.0">
  <systemFields>
    <field name="Objective-Id">
      <value order="0">B261754</value>
    </field>
    <field name="Objective-Title">
      <value order="0">Online Accessibility Policy</value>
    </field>
    <field name="Objective-Description">
      <value order="0">The purpose of the policy is to make SA Government web content accessible to all citizens.  This policy has been renamed from the Website Accessibility Policy during its review in 2018.</value>
    </field>
    <field name="Objective-CreationStamp">
      <value order="0">2018-10-15T21:50:55Z</value>
    </field>
    <field name="Objective-IsApproved">
      <value order="0">false</value>
    </field>
    <field name="Objective-IsPublished">
      <value order="0">false</value>
    </field>
    <field name="Objective-DatePublished">
      <value order="0"/>
    </field>
    <field name="Objective-ModificationStamp">
      <value order="0">2018-11-09T00:53:44Z</value>
    </field>
    <field name="Objective-Owner">
      <value order="0">Marshall, Peter</value>
    </field>
    <field name="Objective-Path">
      <value order="0">Objective Global Folder:DPC BUSINESS CLASSIFICATION SCHEME:STRATEGIC MANAGEMENT:POLICY:STRATEGIC MANAGEMENT - POLICY - ICT and Digital Policy Management 2018:Policy Documents:Website</value>
    </field>
    <field name="Objective-Parent">
      <value order="0">Website</value>
    </field>
    <field name="Objective-State">
      <value order="0">Being Edited</value>
    </field>
    <field name="Objective-VersionId">
      <value order="0">vB412122</value>
    </field>
    <field name="Objective-Version">
      <value order="0">3.2</value>
    </field>
    <field name="Objective-VersionNumber">
      <value order="0">5</value>
    </field>
    <field name="Objective-VersionComment">
      <value order="0">The purpose of the policy is to make SA Government web content accessible to all citizens.  This policy has been renamed from the Website Accessibility Policy during its review in 2018.</value>
    </field>
    <field name="Objective-FileNumber">
      <value order="0">qB187707</value>
    </field>
    <field name="Objective-Classification">
      <value order="0"/>
    </field>
    <field name="Objective-Caveats">
      <value order="0"/>
    </field>
  </systemFields>
  <catalogues>
    <catalogue name="DPC Document Type Catalogue" type="type" ori="id:cB64">
      <field name="Objective-Jurisdiction">
        <value order="0">Dept of the Premier &amp; Cabinet</value>
      </field>
      <field name="Objective-Confidentiality">
        <value order="0">Public</value>
      </field>
      <field name="Objective-Integrity">
        <value order="0">I1</value>
      </field>
      <field name="Objective-Availability">
        <value order="0">A1</value>
      </field>
      <field name="Objective-Division/Unit">
        <value order="0">COOCPO - ICTDG - Office for Digital Government</value>
      </field>
      <field name="Objective-Document Type">
        <value order="0">eobjB237</value>
      </field>
      <field name="Objective-Caveat (CIA)">
        <value order="0"/>
      </field>
      <field name="Objective-Confidentiality Clause">
        <value order="0"/>
      </field>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C4D66C621C9014FBD71EEE532C4DA23" ma:contentTypeVersion="15" ma:contentTypeDescription="Create a new document." ma:contentTypeScope="" ma:versionID="af23dfa7f353c4c7d86a97f7d955addf">
  <xsd:schema xmlns:xsd="http://www.w3.org/2001/XMLSchema" xmlns:xs="http://www.w3.org/2001/XMLSchema" xmlns:p="http://schemas.microsoft.com/office/2006/metadata/properties" xmlns:ns1="http://schemas.microsoft.com/sharepoint/v3" xmlns:ns2="6a051d52-bcea-4f87-8ee2-b5ac0a4bc05f" xmlns:ns3="84b18f74-4b7d-48c1-9b00-0907fe193774" targetNamespace="http://schemas.microsoft.com/office/2006/metadata/properties" ma:root="true" ma:fieldsID="fa25f84d1ac03ccb954e6f139e2cdffe" ns1:_="" ns2:_="" ns3:_="">
    <xsd:import namespace="http://schemas.microsoft.com/sharepoint/v3"/>
    <xsd:import namespace="6a051d52-bcea-4f87-8ee2-b5ac0a4bc05f"/>
    <xsd:import namespace="84b18f74-4b7d-48c1-9b00-0907fe19377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1:_ip_UnifiedCompliancePolicyProperties" minOccurs="0"/>
                <xsd:element ref="ns1:_ip_UnifiedCompliancePolicyUIAc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051d52-bcea-4f87-8ee2-b5ac0a4bc0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4b18f74-4b7d-48c1-9b00-0907fe193774"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745109E-2DDF-40CB-AC2B-FF9B10C90820}">
  <ds:schemaRefs>
    <ds:schemaRef ds:uri="http://www.objective.com/ecm/document/metadata/7308B0169B604BF78408B4824B579E8E"/>
  </ds:schemaRefs>
</ds:datastoreItem>
</file>

<file path=customXml/itemProps2.xml><?xml version="1.0" encoding="utf-8"?>
<ds:datastoreItem xmlns:ds="http://schemas.openxmlformats.org/officeDocument/2006/customXml" ds:itemID="{0449604A-EF2E-458D-8450-9261F02AF391}">
  <ds:schemaRefs>
    <ds:schemaRef ds:uri="http://schemas.openxmlformats.org/officeDocument/2006/bibliography"/>
  </ds:schemaRefs>
</ds:datastoreItem>
</file>

<file path=customXml/itemProps3.xml><?xml version="1.0" encoding="utf-8"?>
<ds:datastoreItem xmlns:ds="http://schemas.openxmlformats.org/officeDocument/2006/customXml" ds:itemID="{E35F2C8A-466A-4129-BB68-1FC86F26E894}"/>
</file>

<file path=customXml/itemProps4.xml><?xml version="1.0" encoding="utf-8"?>
<ds:datastoreItem xmlns:ds="http://schemas.openxmlformats.org/officeDocument/2006/customXml" ds:itemID="{5156BCC2-63A3-48A1-8B9E-1DD49D5DB330}"/>
</file>

<file path=customXml/itemProps5.xml><?xml version="1.0" encoding="utf-8"?>
<ds:datastoreItem xmlns:ds="http://schemas.openxmlformats.org/officeDocument/2006/customXml" ds:itemID="{FE9BC1B3-91C8-45A1-A388-EC1C3526996B}"/>
</file>

<file path=docProps/app.xml><?xml version="1.0" encoding="utf-8"?>
<Properties xmlns="http://schemas.openxmlformats.org/officeDocument/2006/extended-properties" xmlns:vt="http://schemas.openxmlformats.org/officeDocument/2006/docPropsVTypes">
  <Template>Normal</Template>
  <TotalTime>0</TotalTime>
  <Pages>5</Pages>
  <Words>2079</Words>
  <Characters>11851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2018-11-29T23:07:00Z</dcterms:created>
  <dcterms:modified xsi:type="dcterms:W3CDTF">2018-12-03T03:48:00Z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B261754</vt:lpwstr>
  </property>
  <property fmtid="{D5CDD505-2E9C-101B-9397-08002B2CF9AE}" pid="4" name="Objective-Title">
    <vt:lpwstr>Online Accessibility Policy</vt:lpwstr>
  </property>
  <property fmtid="{D5CDD505-2E9C-101B-9397-08002B2CF9AE}" pid="5" name="Objective-Description">
    <vt:lpwstr>The purpose of the policy is to make SA Government web content accessible to all citizens.  This policy has been renamed from the Website Accessibility Policy during its review in 2018.</vt:lpwstr>
  </property>
  <property fmtid="{D5CDD505-2E9C-101B-9397-08002B2CF9AE}" pid="6" name="Objective-CreationStamp">
    <vt:filetime>2018-10-15T21:55:54Z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2018-11-09T00:54:53Z</vt:filetime>
  </property>
  <property fmtid="{D5CDD505-2E9C-101B-9397-08002B2CF9AE}" pid="10" name="Objective-ModificationStamp">
    <vt:filetime>2018-11-09T00:54:53Z</vt:filetime>
  </property>
  <property fmtid="{D5CDD505-2E9C-101B-9397-08002B2CF9AE}" pid="11" name="Objective-Owner">
    <vt:lpwstr>Marshall, Peter</vt:lpwstr>
  </property>
  <property fmtid="{D5CDD505-2E9C-101B-9397-08002B2CF9AE}" pid="12" name="Objective-Path">
    <vt:lpwstr>Objective Global Folder:DPC BUSINESS CLASSIFICATION SCHEME:STRATEGIC MANAGEMENT:POLICY:STRATEGIC MANAGEMENT - POLICY - ICT and Digital Policy Management 2018:Policy Documents:Website:</vt:lpwstr>
  </property>
  <property fmtid="{D5CDD505-2E9C-101B-9397-08002B2CF9AE}" pid="13" name="Objective-Parent">
    <vt:lpwstr>Website</vt:lpwstr>
  </property>
  <property fmtid="{D5CDD505-2E9C-101B-9397-08002B2CF9AE}" pid="14" name="Objective-State">
    <vt:lpwstr>Published</vt:lpwstr>
  </property>
  <property fmtid="{D5CDD505-2E9C-101B-9397-08002B2CF9AE}" pid="15" name="Objective-VersionId">
    <vt:lpwstr>vB412122</vt:lpwstr>
  </property>
  <property fmtid="{D5CDD505-2E9C-101B-9397-08002B2CF9AE}" pid="16" name="Objective-Version">
    <vt:lpwstr>4.0</vt:lpwstr>
  </property>
  <property fmtid="{D5CDD505-2E9C-101B-9397-08002B2CF9AE}" pid="17" name="Objective-VersionNumber">
    <vt:r8>5</vt:r8>
  </property>
  <property fmtid="{D5CDD505-2E9C-101B-9397-08002B2CF9AE}" pid="18" name="Objective-VersionComment">
    <vt:lpwstr>Finalise version for submission from Policy Coordination Group to IDG leadership</vt:lpwstr>
  </property>
  <property fmtid="{D5CDD505-2E9C-101B-9397-08002B2CF9AE}" pid="19" name="Objective-FileNumber">
    <vt:lpwstr>DPC18/1106</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Jurisdiction">
    <vt:lpwstr>Dept of the Premier &amp; Cabinet</vt:lpwstr>
  </property>
  <property fmtid="{D5CDD505-2E9C-101B-9397-08002B2CF9AE}" pid="23" name="Objective-Confidentiality">
    <vt:lpwstr>Public</vt:lpwstr>
  </property>
  <property fmtid="{D5CDD505-2E9C-101B-9397-08002B2CF9AE}" pid="24" name="Objective-Integrity">
    <vt:lpwstr>I1</vt:lpwstr>
  </property>
  <property fmtid="{D5CDD505-2E9C-101B-9397-08002B2CF9AE}" pid="25" name="Objective-Availability">
    <vt:lpwstr>A1</vt:lpwstr>
  </property>
  <property fmtid="{D5CDD505-2E9C-101B-9397-08002B2CF9AE}" pid="26" name="Objective-Division/Unit">
    <vt:lpwstr>COOCPO - ICTDG - Office for Digital Government</vt:lpwstr>
  </property>
  <property fmtid="{D5CDD505-2E9C-101B-9397-08002B2CF9AE}" pid="27" name="Objective-Document Type">
    <vt:lpwstr>eobjB237</vt:lpwstr>
  </property>
  <property fmtid="{D5CDD505-2E9C-101B-9397-08002B2CF9AE}" pid="28" name="Objective-Caveat (CIA)">
    <vt:lpwstr/>
  </property>
  <property fmtid="{D5CDD505-2E9C-101B-9397-08002B2CF9AE}" pid="29" name="Objective-Confidentiality Clause">
    <vt:lpwstr/>
  </property>
  <property fmtid="{D5CDD505-2E9C-101B-9397-08002B2CF9AE}" pid="30" name="Objective-Connect Creator">
    <vt:lpwstr/>
  </property>
  <property fmtid="{D5CDD505-2E9C-101B-9397-08002B2CF9AE}" pid="31" name="Objective-Comment">
    <vt:lpwstr>The purpose of the policy is to make SA Government web content accessible to all citizens.  This policy has been renamed from the Website Accessibility Policy during its review in 2018.</vt:lpwstr>
  </property>
  <property fmtid="{D5CDD505-2E9C-101B-9397-08002B2CF9AE}" pid="32" name="Objective-Jurisdiction [system]">
    <vt:lpwstr>Dept of the Premier &amp; Cabinet</vt:lpwstr>
  </property>
  <property fmtid="{D5CDD505-2E9C-101B-9397-08002B2CF9AE}" pid="33" name="Objective-Division/Unit [system]">
    <vt:lpwstr>COOCPO - ICTDG - Office for Digital Government</vt:lpwstr>
  </property>
  <property fmtid="{D5CDD505-2E9C-101B-9397-08002B2CF9AE}" pid="34" name="Objective-Document Type [system]">
    <vt:lpwstr>Policy</vt:lpwstr>
  </property>
  <property fmtid="{D5CDD505-2E9C-101B-9397-08002B2CF9AE}" pid="35" name="Objective-Confidentiality [system]">
    <vt:lpwstr>Public</vt:lpwstr>
  </property>
  <property fmtid="{D5CDD505-2E9C-101B-9397-08002B2CF9AE}" pid="36" name="Objective-Confidentiality Clause [system]">
    <vt:lpwstr/>
  </property>
  <property fmtid="{D5CDD505-2E9C-101B-9397-08002B2CF9AE}" pid="37" name="Objective-Integrity [system]">
    <vt:lpwstr>I1</vt:lpwstr>
  </property>
  <property fmtid="{D5CDD505-2E9C-101B-9397-08002B2CF9AE}" pid="38" name="Objective-Availability [system]">
    <vt:lpwstr>A1</vt:lpwstr>
  </property>
  <property fmtid="{D5CDD505-2E9C-101B-9397-08002B2CF9AE}" pid="39" name="Objective-Caveat (CIA) [system]">
    <vt:lpwstr/>
  </property>
  <property fmtid="{D5CDD505-2E9C-101B-9397-08002B2CF9AE}" pid="40" name="Objective-Connect Creator [system]">
    <vt:lpwstr/>
  </property>
  <property fmtid="{D5CDD505-2E9C-101B-9397-08002B2CF9AE}" pid="41" name="ContentTypeId">
    <vt:lpwstr>0x0101002C4D66C621C9014FBD71EEE532C4DA23</vt:lpwstr>
  </property>
</Properties>
</file>