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D151A" w14:textId="02F7E088" w:rsidR="00073A81" w:rsidRDefault="00073A81" w:rsidP="00073A81">
      <w:pPr>
        <w:spacing w:after="0"/>
        <w:jc w:val="center"/>
        <w:rPr>
          <w:b/>
          <w:bCs/>
          <w:sz w:val="36"/>
          <w:szCs w:val="36"/>
        </w:rPr>
      </w:pPr>
      <w:r w:rsidRPr="00B409C6">
        <w:rPr>
          <w:b/>
          <w:bCs/>
          <w:sz w:val="36"/>
          <w:szCs w:val="36"/>
        </w:rPr>
        <w:t xml:space="preserve">DRAFT </w:t>
      </w:r>
      <w:r w:rsidRPr="00DC1CA5">
        <w:rPr>
          <w:b/>
          <w:bCs/>
          <w:sz w:val="36"/>
          <w:szCs w:val="36"/>
        </w:rPr>
        <w:t>HERITAGE STANDARD</w:t>
      </w:r>
      <w:r w:rsidR="007810FF">
        <w:rPr>
          <w:b/>
          <w:bCs/>
          <w:sz w:val="36"/>
          <w:szCs w:val="36"/>
        </w:rPr>
        <w:t>S</w:t>
      </w:r>
      <w:r w:rsidR="00CA6F18">
        <w:rPr>
          <w:b/>
          <w:bCs/>
          <w:sz w:val="36"/>
          <w:szCs w:val="36"/>
        </w:rPr>
        <w:t xml:space="preserve"> FOR BURRA, MINTARO AND MOONTA MINES STATE HERITAGE AREAS</w:t>
      </w:r>
    </w:p>
    <w:p w14:paraId="1252667A" w14:textId="7E321C99" w:rsidR="00073A81" w:rsidRPr="006C4223" w:rsidRDefault="00073A81" w:rsidP="00073A81">
      <w:pPr>
        <w:spacing w:after="0"/>
        <w:jc w:val="center"/>
        <w:rPr>
          <w:b/>
          <w:bCs/>
          <w:sz w:val="24"/>
          <w:szCs w:val="24"/>
        </w:rPr>
      </w:pPr>
    </w:p>
    <w:p w14:paraId="63802852" w14:textId="0AC8B87C" w:rsidR="00073A81" w:rsidRDefault="00073A81" w:rsidP="00073A81">
      <w:pPr>
        <w:spacing w:after="0"/>
        <w:jc w:val="center"/>
        <w:rPr>
          <w:b/>
          <w:bCs/>
          <w:sz w:val="18"/>
          <w:szCs w:val="18"/>
        </w:rPr>
      </w:pPr>
      <w:r w:rsidRPr="00073A81">
        <w:rPr>
          <w:b/>
          <w:bCs/>
          <w:sz w:val="32"/>
          <w:szCs w:val="32"/>
        </w:rPr>
        <w:t>FACT SHEET</w:t>
      </w:r>
      <w:r w:rsidR="00AA604A">
        <w:rPr>
          <w:b/>
          <w:bCs/>
          <w:sz w:val="32"/>
          <w:szCs w:val="32"/>
        </w:rPr>
        <w:t xml:space="preserve"> </w:t>
      </w:r>
      <w:r>
        <w:rPr>
          <w:b/>
          <w:bCs/>
          <w:sz w:val="36"/>
          <w:szCs w:val="36"/>
        </w:rPr>
        <w:br/>
      </w:r>
    </w:p>
    <w:p w14:paraId="608C2D3A" w14:textId="5FF6118B" w:rsidR="00B62051" w:rsidRDefault="00556619" w:rsidP="00537709">
      <w:pPr>
        <w:jc w:val="both"/>
      </w:pPr>
      <w:r>
        <w:rPr>
          <w:b/>
          <w:bCs/>
        </w:rPr>
        <w:t xml:space="preserve">Burra </w:t>
      </w:r>
      <w:r>
        <w:t>State Heritage Area is on</w:t>
      </w:r>
      <w:r w:rsidR="00AE4477">
        <w:t>e</w:t>
      </w:r>
      <w:r>
        <w:t xml:space="preserve"> of Australia’s earliest</w:t>
      </w:r>
      <w:r w:rsidR="008623E1">
        <w:t xml:space="preserve"> and</w:t>
      </w:r>
      <w:r>
        <w:t xml:space="preserve"> largest </w:t>
      </w:r>
      <w:r w:rsidR="00B409C6">
        <w:t>intact</w:t>
      </w:r>
      <w:r>
        <w:t xml:space="preserve"> 19</w:t>
      </w:r>
      <w:r w:rsidRPr="00556619">
        <w:rPr>
          <w:vertAlign w:val="superscript"/>
        </w:rPr>
        <w:t>th</w:t>
      </w:r>
      <w:r>
        <w:t xml:space="preserve"> century mining towns. </w:t>
      </w:r>
      <w:r w:rsidR="00EE7EEA">
        <w:t xml:space="preserve">The </w:t>
      </w:r>
      <w:r>
        <w:t>Burra copper mine contributed significantly to South Australia’s early prosperity before the town evolved into a service centre for agriculture</w:t>
      </w:r>
      <w:r w:rsidR="00AA604A">
        <w:t xml:space="preserve">. </w:t>
      </w:r>
      <w:r w:rsidR="00FA2A5A">
        <w:t xml:space="preserve">In addition to </w:t>
      </w:r>
      <w:r w:rsidR="00AA604A">
        <w:t xml:space="preserve">Burra </w:t>
      </w:r>
      <w:r w:rsidR="00FA2A5A">
        <w:t xml:space="preserve">being listed as a State </w:t>
      </w:r>
      <w:r w:rsidR="00DE5F7A">
        <w:t>Heritage Area, is also features</w:t>
      </w:r>
      <w:bookmarkStart w:id="0" w:name="_GoBack"/>
      <w:bookmarkEnd w:id="0"/>
      <w:r w:rsidR="00AA604A">
        <w:t xml:space="preserve"> many </w:t>
      </w:r>
      <w:r w:rsidR="00FA2A5A">
        <w:t>individual State Heritage Places</w:t>
      </w:r>
      <w:r w:rsidR="00AA604A">
        <w:t xml:space="preserve"> that date from the middle of the 19</w:t>
      </w:r>
      <w:r w:rsidR="00AA604A" w:rsidRPr="00DF3446">
        <w:rPr>
          <w:vertAlign w:val="superscript"/>
        </w:rPr>
        <w:t>th</w:t>
      </w:r>
      <w:r w:rsidR="00AA604A">
        <w:t xml:space="preserve"> century when it was one of the world’s </w:t>
      </w:r>
      <w:r w:rsidR="0033772E">
        <w:t xml:space="preserve">largest and most productive </w:t>
      </w:r>
      <w:r w:rsidR="00AA604A">
        <w:t>copper mines.</w:t>
      </w:r>
    </w:p>
    <w:p w14:paraId="5E52299D" w14:textId="7F352B18" w:rsidR="00C11559" w:rsidRDefault="00C11559" w:rsidP="00537709">
      <w:pPr>
        <w:jc w:val="both"/>
        <w:rPr>
          <w:b/>
          <w:bCs/>
        </w:rPr>
      </w:pPr>
      <w:r>
        <w:rPr>
          <w:b/>
          <w:bCs/>
        </w:rPr>
        <w:t xml:space="preserve">Mintaro </w:t>
      </w:r>
      <w:r w:rsidRPr="00C11559">
        <w:t xml:space="preserve">State Heritage </w:t>
      </w:r>
      <w:r w:rsidR="003712D0" w:rsidRPr="00C11559">
        <w:t>Area</w:t>
      </w:r>
      <w:r w:rsidR="003712D0" w:rsidRPr="008F5BF4">
        <w:t xml:space="preserve"> </w:t>
      </w:r>
      <w:r w:rsidR="003712D0">
        <w:t>is a rare example of a</w:t>
      </w:r>
      <w:r w:rsidR="008623E1">
        <w:t>n</w:t>
      </w:r>
      <w:r w:rsidR="003712D0">
        <w:t xml:space="preserve"> </w:t>
      </w:r>
      <w:r w:rsidR="00DE5F7A">
        <w:t>intact</w:t>
      </w:r>
      <w:r w:rsidR="003712D0">
        <w:t xml:space="preserve"> colonial town. Established in the 1850s as an important staging point on the road between Burra and Port Wakefield, Mintaro is associated with early transport, farming and slate quarrying</w:t>
      </w:r>
      <w:r w:rsidR="00AE4477">
        <w:t xml:space="preserve"> </w:t>
      </w:r>
      <w:r w:rsidR="0033772E">
        <w:t>and is a valuable record</w:t>
      </w:r>
      <w:r w:rsidR="008F5BF4" w:rsidRPr="008F5BF4">
        <w:t xml:space="preserve"> of a small </w:t>
      </w:r>
      <w:r w:rsidR="004A368B" w:rsidRPr="008F5BF4">
        <w:t>mid</w:t>
      </w:r>
      <w:r w:rsidR="0033772E">
        <w:t>-</w:t>
      </w:r>
      <w:r w:rsidR="004A368B">
        <w:t>19</w:t>
      </w:r>
      <w:r w:rsidR="004A368B" w:rsidRPr="004A368B">
        <w:rPr>
          <w:vertAlign w:val="superscript"/>
        </w:rPr>
        <w:t>th</w:t>
      </w:r>
      <w:r w:rsidR="004A368B">
        <w:t xml:space="preserve"> </w:t>
      </w:r>
      <w:r w:rsidR="008F5BF4" w:rsidRPr="008F5BF4">
        <w:t>century rural town.</w:t>
      </w:r>
      <w:r w:rsidR="008F5BF4">
        <w:rPr>
          <w:b/>
          <w:bCs/>
        </w:rPr>
        <w:t xml:space="preserve"> </w:t>
      </w:r>
      <w:r w:rsidR="00EE7EEA">
        <w:rPr>
          <w:b/>
          <w:bCs/>
        </w:rPr>
        <w:t xml:space="preserve"> </w:t>
      </w:r>
    </w:p>
    <w:p w14:paraId="5C03FB96" w14:textId="1785C6F2" w:rsidR="00556619" w:rsidRDefault="00556619" w:rsidP="00B640F3">
      <w:pPr>
        <w:spacing w:after="0"/>
        <w:jc w:val="both"/>
      </w:pPr>
      <w:r w:rsidRPr="007810FF">
        <w:rPr>
          <w:b/>
          <w:bCs/>
        </w:rPr>
        <w:t xml:space="preserve">Moonta Mines </w:t>
      </w:r>
      <w:r w:rsidRPr="007810FF">
        <w:t xml:space="preserve">State Heritage Area </w:t>
      </w:r>
      <w:r>
        <w:t>is one of South Australia’s most important collection</w:t>
      </w:r>
      <w:r w:rsidR="00EE7EEA">
        <w:t>s</w:t>
      </w:r>
      <w:r>
        <w:t xml:space="preserve"> of </w:t>
      </w:r>
      <w:r w:rsidR="004A368B">
        <w:t>19</w:t>
      </w:r>
      <w:r w:rsidR="004A368B" w:rsidRPr="004A368B">
        <w:rPr>
          <w:vertAlign w:val="superscript"/>
        </w:rPr>
        <w:t>th</w:t>
      </w:r>
      <w:r w:rsidR="004A368B">
        <w:t xml:space="preserve"> </w:t>
      </w:r>
      <w:r>
        <w:t xml:space="preserve">century mining structures and relics. The State Heritage Area </w:t>
      </w:r>
      <w:r w:rsidRPr="007810FF">
        <w:t xml:space="preserve">recognises the town’s significant links with many important episodes in the history and development of South Australia’s role in Australia’s copper mining industry. </w:t>
      </w:r>
      <w:r w:rsidR="0033772E">
        <w:t>Known as Australia’s Little Cornwall, t</w:t>
      </w:r>
      <w:r w:rsidRPr="007810FF">
        <w:t xml:space="preserve">he Moonta Mines </w:t>
      </w:r>
      <w:r w:rsidR="00EE7EEA">
        <w:t xml:space="preserve">State Heritage Area </w:t>
      </w:r>
      <w:r w:rsidRPr="007810FF">
        <w:t xml:space="preserve">also has a significant association with Cornish culture. </w:t>
      </w:r>
    </w:p>
    <w:p w14:paraId="416C1842" w14:textId="77777777" w:rsidR="00B640F3" w:rsidRPr="00B640F3" w:rsidRDefault="00B640F3" w:rsidP="00B640F3">
      <w:pPr>
        <w:spacing w:after="0"/>
        <w:jc w:val="both"/>
      </w:pPr>
    </w:p>
    <w:p w14:paraId="0689C972" w14:textId="1CDF25F8" w:rsidR="00151AC2" w:rsidRDefault="00DF3446" w:rsidP="00625965">
      <w:r>
        <w:t xml:space="preserve">State Heritage Areas (e.g., Burra, Mintaro and Moonta Mines) </w:t>
      </w:r>
      <w:r w:rsidR="00B62051">
        <w:t>are</w:t>
      </w:r>
      <w:r w:rsidR="000736C3">
        <w:t xml:space="preserve"> protected under the Planning and Design Code by:</w:t>
      </w:r>
    </w:p>
    <w:p w14:paraId="4C4638C4" w14:textId="559584F8" w:rsidR="000736C3" w:rsidRPr="00261EC4" w:rsidRDefault="000736C3" w:rsidP="000736C3">
      <w:pPr>
        <w:pStyle w:val="ListParagraph"/>
        <w:numPr>
          <w:ilvl w:val="0"/>
          <w:numId w:val="1"/>
        </w:numPr>
        <w:rPr>
          <w:b/>
          <w:bCs/>
        </w:rPr>
      </w:pPr>
      <w:r w:rsidRPr="00261EC4">
        <w:rPr>
          <w:b/>
          <w:bCs/>
        </w:rPr>
        <w:t>State Heritage Area Overlay</w:t>
      </w:r>
    </w:p>
    <w:p w14:paraId="5D62BE48" w14:textId="42AE9EB3" w:rsidR="00A72C56" w:rsidRDefault="00602083" w:rsidP="00602083">
      <w:pPr>
        <w:jc w:val="both"/>
      </w:pPr>
      <w:r>
        <w:t>The State Heritage Area overlay ensures changes to</w:t>
      </w:r>
      <w:r w:rsidR="00EE7EEA">
        <w:t xml:space="preserve"> </w:t>
      </w:r>
      <w:r>
        <w:t xml:space="preserve">and development within </w:t>
      </w:r>
      <w:r w:rsidR="00B62051">
        <w:t>a</w:t>
      </w:r>
      <w:r>
        <w:t xml:space="preserve"> </w:t>
      </w:r>
      <w:r w:rsidR="00B62051">
        <w:t>State Heritage A</w:t>
      </w:r>
      <w:r>
        <w:t xml:space="preserve">rea </w:t>
      </w:r>
      <w:r w:rsidR="00EE7EEA">
        <w:t>is</w:t>
      </w:r>
      <w:r w:rsidR="00B62051">
        <w:t xml:space="preserve"> </w:t>
      </w:r>
      <w:r>
        <w:t>managed in a way that maintains the area’s cultural significance. This means alterations and additions to existing buildings or new buildings are assessed against – and uphold – the heritage values of the St</w:t>
      </w:r>
      <w:r w:rsidR="00A32270">
        <w:t>ate</w:t>
      </w:r>
      <w:r>
        <w:t xml:space="preserve"> Heritage Area. </w:t>
      </w:r>
      <w:r w:rsidR="00413BD9">
        <w:t>As well as</w:t>
      </w:r>
      <w:r>
        <w:t xml:space="preserve"> outlining the policies controlling demolition, design, new </w:t>
      </w:r>
      <w:r w:rsidR="000D4016">
        <w:t>buildings,</w:t>
      </w:r>
      <w:r>
        <w:t xml:space="preserve"> and additions</w:t>
      </w:r>
      <w:r w:rsidR="00A72C56">
        <w:t>,</w:t>
      </w:r>
      <w:r>
        <w:t xml:space="preserve"> </w:t>
      </w:r>
      <w:r w:rsidR="00A72C56">
        <w:t>the State Heritage Area overlay</w:t>
      </w:r>
      <w:r>
        <w:t xml:space="preserve"> provides for better recognition of public </w:t>
      </w:r>
      <w:r w:rsidR="00A32270">
        <w:t>areas and</w:t>
      </w:r>
      <w:r>
        <w:t xml:space="preserve"> sets out referrals to the Minister for Heritage. The State Heritage Area Overlay takes precedence over the policies contained in the underlying zone</w:t>
      </w:r>
      <w:r w:rsidR="000D4016">
        <w:t>/s</w:t>
      </w:r>
      <w:r w:rsidR="00073A81">
        <w:t xml:space="preserve"> and general policies in the Planning and Design Code</w:t>
      </w:r>
      <w:r>
        <w:t>.</w:t>
      </w:r>
      <w:r w:rsidR="00073A81">
        <w:t xml:space="preserve"> </w:t>
      </w:r>
    </w:p>
    <w:p w14:paraId="15AF6F63" w14:textId="4BCC5404" w:rsidR="006969D3" w:rsidRPr="00261EC4" w:rsidRDefault="006969D3" w:rsidP="006969D3">
      <w:pPr>
        <w:pStyle w:val="ListParagraph"/>
        <w:numPr>
          <w:ilvl w:val="0"/>
          <w:numId w:val="1"/>
        </w:numPr>
        <w:rPr>
          <w:b/>
          <w:bCs/>
        </w:rPr>
      </w:pPr>
      <w:r w:rsidRPr="00261EC4">
        <w:rPr>
          <w:b/>
          <w:bCs/>
        </w:rPr>
        <w:t>Ministerial Power of Direction</w:t>
      </w:r>
    </w:p>
    <w:p w14:paraId="2AC2FEA3" w14:textId="259AD3C8" w:rsidR="006969D3" w:rsidRDefault="00073A81" w:rsidP="00306306">
      <w:pPr>
        <w:jc w:val="both"/>
      </w:pPr>
      <w:r w:rsidRPr="00073A81">
        <w:t xml:space="preserve">Development within </w:t>
      </w:r>
      <w:r>
        <w:t>a State Heritage Area</w:t>
      </w:r>
      <w:r w:rsidRPr="00073A81">
        <w:t xml:space="preserve"> that may impact on </w:t>
      </w:r>
      <w:r w:rsidR="00E838B9">
        <w:t>the</w:t>
      </w:r>
      <w:r w:rsidRPr="00073A81">
        <w:t xml:space="preserve"> heritage values must be referred to the Minister responsible for the </w:t>
      </w:r>
      <w:r w:rsidRPr="00073A81">
        <w:rPr>
          <w:i/>
          <w:iCs/>
        </w:rPr>
        <w:t>Heritage Places Act 1993</w:t>
      </w:r>
      <w:r w:rsidRPr="00073A81">
        <w:t>.</w:t>
      </w:r>
      <w:r>
        <w:t xml:space="preserve"> </w:t>
      </w:r>
      <w:r w:rsidR="006969D3">
        <w:t>The Minister has authority to direct decisions on development applications that directly affect a State Heritage Place. This means that the Minister (or their delegate) can</w:t>
      </w:r>
      <w:r w:rsidR="00DF2B34">
        <w:t xml:space="preserve"> confirm support, or direct conditions of approval, or</w:t>
      </w:r>
      <w:r w:rsidR="006969D3">
        <w:t xml:space="preserve"> direct the relevant authority to refuse development applications if they are considered to have an inappropriate impact on the State Heritage Area.</w:t>
      </w:r>
    </w:p>
    <w:p w14:paraId="6BBFAF86" w14:textId="60FA80E4" w:rsidR="000736C3" w:rsidRDefault="000736C3" w:rsidP="000736C3">
      <w:pPr>
        <w:pStyle w:val="ListParagraph"/>
        <w:numPr>
          <w:ilvl w:val="0"/>
          <w:numId w:val="1"/>
        </w:numPr>
        <w:rPr>
          <w:b/>
          <w:bCs/>
        </w:rPr>
      </w:pPr>
      <w:r w:rsidRPr="00261EC4">
        <w:rPr>
          <w:b/>
          <w:bCs/>
        </w:rPr>
        <w:t>Heritage Standard</w:t>
      </w:r>
    </w:p>
    <w:p w14:paraId="65C86D2B" w14:textId="43D4B168" w:rsidR="006969D3" w:rsidRDefault="006969D3" w:rsidP="00306306">
      <w:pPr>
        <w:jc w:val="both"/>
      </w:pPr>
      <w:r>
        <w:t xml:space="preserve">Applications for development approval in a State Heritage Area are required to be referred, by the relevant authority, to the Minister responsible for the </w:t>
      </w:r>
      <w:r w:rsidRPr="006969D3">
        <w:rPr>
          <w:i/>
          <w:iCs/>
        </w:rPr>
        <w:t>Heritage Places Act 1993</w:t>
      </w:r>
      <w:r>
        <w:t xml:space="preserve">. The Minister </w:t>
      </w:r>
      <w:r>
        <w:lastRenderedPageBreak/>
        <w:t>delegates assessment and decisions to Heritage South Australia in the Department for Environment and Water.</w:t>
      </w:r>
      <w:r w:rsidR="00A72C56">
        <w:t xml:space="preserve"> </w:t>
      </w:r>
    </w:p>
    <w:p w14:paraId="5F9D2F99" w14:textId="3E7BA0FD" w:rsidR="00073A81" w:rsidRDefault="00306306" w:rsidP="00306306">
      <w:pPr>
        <w:jc w:val="both"/>
      </w:pPr>
      <w:r>
        <w:t xml:space="preserve">A </w:t>
      </w:r>
      <w:r w:rsidR="006969D3">
        <w:t>Heritage Standard</w:t>
      </w:r>
      <w:r>
        <w:t xml:space="preserve"> is </w:t>
      </w:r>
      <w:r w:rsidR="006969D3">
        <w:t xml:space="preserve">an assessment tool, linked to the State Heritage Area Overlay within the Planning and Design Code. </w:t>
      </w:r>
      <w:r w:rsidR="007A7BAF">
        <w:t xml:space="preserve">The </w:t>
      </w:r>
      <w:r w:rsidR="006969D3">
        <w:t>Heritage Standard</w:t>
      </w:r>
      <w:r w:rsidR="007A7BAF">
        <w:t xml:space="preserve"> </w:t>
      </w:r>
      <w:r w:rsidR="006969D3">
        <w:t>provide</w:t>
      </w:r>
      <w:r w:rsidR="007A7BAF">
        <w:t>s</w:t>
      </w:r>
      <w:r w:rsidR="006969D3">
        <w:t xml:space="preserve"> principles and acceptable minimum standards for development proposals and form</w:t>
      </w:r>
      <w:r w:rsidR="007A7BAF">
        <w:t>s</w:t>
      </w:r>
      <w:r w:rsidR="006969D3">
        <w:t xml:space="preserve"> the basis of Heritage South Australia’s decisions on proposed development referrals.</w:t>
      </w:r>
    </w:p>
    <w:p w14:paraId="5CD62ADD" w14:textId="4133EAF2" w:rsidR="004A2A4E" w:rsidRDefault="004A2A4E" w:rsidP="00306306">
      <w:pPr>
        <w:jc w:val="both"/>
      </w:pPr>
      <w:r>
        <w:t>Heritage South Australia is in the process of developing Heritage Standards for all State Heritage Areas, replacing the current guidelines for development</w:t>
      </w:r>
      <w:r w:rsidR="00A72C56">
        <w:t xml:space="preserve">. </w:t>
      </w:r>
      <w:r>
        <w:t>The Colonel Light Gardens State Heritage Area</w:t>
      </w:r>
      <w:r w:rsidR="00D77524">
        <w:t xml:space="preserve"> Heritage Standard</w:t>
      </w:r>
      <w:r>
        <w:t xml:space="preserve"> w</w:t>
      </w:r>
      <w:r w:rsidR="00D77524">
        <w:t>as</w:t>
      </w:r>
      <w:r>
        <w:t xml:space="preserve"> the first to be completed by Heritage South Australia in consultation with landowners an</w:t>
      </w:r>
      <w:r w:rsidR="002D7A26">
        <w:t>d</w:t>
      </w:r>
      <w:r>
        <w:t xml:space="preserve"> key stakeholders. </w:t>
      </w:r>
    </w:p>
    <w:p w14:paraId="35D829AB" w14:textId="1C4B4CF4" w:rsidR="00E838B9" w:rsidRDefault="002D7A26" w:rsidP="00306306">
      <w:pPr>
        <w:jc w:val="both"/>
      </w:pPr>
      <w:r>
        <w:t>For State Heritage Areas where Heritage Standards</w:t>
      </w:r>
      <w:r w:rsidR="00D77524">
        <w:t xml:space="preserve"> have not been developed</w:t>
      </w:r>
      <w:r>
        <w:t xml:space="preserve">, Heritage South Australia will continue to use the existing guidelines for development. </w:t>
      </w:r>
    </w:p>
    <w:p w14:paraId="66C6D34F" w14:textId="37418380" w:rsidR="00625965" w:rsidRDefault="00625965" w:rsidP="000736C3">
      <w:pPr>
        <w:pStyle w:val="ListParagraph"/>
        <w:numPr>
          <w:ilvl w:val="0"/>
          <w:numId w:val="1"/>
        </w:numPr>
        <w:rPr>
          <w:b/>
          <w:bCs/>
        </w:rPr>
      </w:pPr>
      <w:r w:rsidRPr="00261EC4">
        <w:rPr>
          <w:b/>
          <w:bCs/>
        </w:rPr>
        <w:t xml:space="preserve">Zoning </w:t>
      </w:r>
    </w:p>
    <w:p w14:paraId="00472DC5" w14:textId="27997FD7" w:rsidR="005B546D" w:rsidRDefault="005B546D" w:rsidP="00602083">
      <w:pPr>
        <w:jc w:val="both"/>
      </w:pPr>
      <w:r>
        <w:t xml:space="preserve">Burra, Mintaro and Moonta Mines </w:t>
      </w:r>
      <w:r w:rsidR="00977AD5">
        <w:t xml:space="preserve">State Heritage Areas are </w:t>
      </w:r>
      <w:r w:rsidR="00A72C56">
        <w:t>located</w:t>
      </w:r>
      <w:r>
        <w:t xml:space="preserve"> within an Established Neighbourhood Zone, Township Main Zone, Rural Neighbourhood Zone and Rural Living Zone</w:t>
      </w:r>
      <w:r w:rsidR="00F85102">
        <w:t xml:space="preserve"> of </w:t>
      </w:r>
      <w:r w:rsidR="00F85102">
        <w:t>the Planning and Design Code</w:t>
      </w:r>
      <w:r>
        <w:t xml:space="preserve">. These zones recognise the neighbourhood </w:t>
      </w:r>
      <w:r w:rsidR="00A80CAA">
        <w:t xml:space="preserve">based and rural </w:t>
      </w:r>
      <w:r>
        <w:t xml:space="preserve">nature of the Townships. </w:t>
      </w:r>
    </w:p>
    <w:p w14:paraId="18F5D3FA" w14:textId="6AA90EBE" w:rsidR="007F344A" w:rsidRDefault="00F71E05" w:rsidP="00602083">
      <w:pPr>
        <w:jc w:val="both"/>
      </w:pPr>
      <w:r>
        <w:t>The</w:t>
      </w:r>
      <w:r w:rsidR="00E64D07">
        <w:t xml:space="preserve">se zones </w:t>
      </w:r>
      <w:r w:rsidR="007F344A" w:rsidRPr="007F344A">
        <w:t>recognise</w:t>
      </w:r>
      <w:r w:rsidR="00E64D07">
        <w:t xml:space="preserve"> </w:t>
      </w:r>
      <w:r w:rsidR="007F344A" w:rsidRPr="007F344A">
        <w:t xml:space="preserve">the importance of maintaining </w:t>
      </w:r>
      <w:r w:rsidR="00E64D07">
        <w:t xml:space="preserve">and protecting </w:t>
      </w:r>
      <w:r w:rsidR="007F344A" w:rsidRPr="007F344A">
        <w:t xml:space="preserve">the predominant streetscape character, </w:t>
      </w:r>
      <w:r w:rsidR="007F344A">
        <w:t>the spacious and secluded residential lifestyle within semi-rural or semi-natural environment</w:t>
      </w:r>
      <w:r w:rsidR="00E64D07">
        <w:t xml:space="preserve">s and the importance of </w:t>
      </w:r>
      <w:r w:rsidR="007F344A">
        <w:t xml:space="preserve">large allotments in a spacious rural setting with </w:t>
      </w:r>
      <w:r w:rsidR="008F35AB">
        <w:t>considerable</w:t>
      </w:r>
      <w:r w:rsidR="007F344A">
        <w:t xml:space="preserve"> space for trees and other vegetation around buildings</w:t>
      </w:r>
      <w:r w:rsidR="00303680">
        <w:t xml:space="preserve">. </w:t>
      </w:r>
    </w:p>
    <w:p w14:paraId="6347E4CC" w14:textId="2613CBC3" w:rsidR="00B640F3" w:rsidRPr="003003A8" w:rsidRDefault="00B640F3" w:rsidP="003003A8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3003A8">
        <w:rPr>
          <w:b/>
          <w:bCs/>
        </w:rPr>
        <w:t xml:space="preserve">What kind of development is allowed in a State Heritage Area? </w:t>
      </w:r>
    </w:p>
    <w:p w14:paraId="610835AD" w14:textId="1BBE850E" w:rsidR="00B640F3" w:rsidRDefault="00303680" w:rsidP="00602083">
      <w:pPr>
        <w:jc w:val="both"/>
        <w:rPr>
          <w:i/>
          <w:iCs/>
        </w:rPr>
      </w:pPr>
      <w:r>
        <w:t>T</w:t>
      </w:r>
      <w:r w:rsidR="00B640F3">
        <w:t xml:space="preserve">he relevant (planning) authority </w:t>
      </w:r>
      <w:r>
        <w:t>must approve any development within a State Heritage Area</w:t>
      </w:r>
      <w:r>
        <w:rPr>
          <w:i/>
          <w:iCs/>
        </w:rPr>
        <w:t xml:space="preserve"> </w:t>
      </w:r>
      <w:r w:rsidR="00B640F3">
        <w:t xml:space="preserve">in accordance with the </w:t>
      </w:r>
      <w:r w:rsidR="00B640F3">
        <w:rPr>
          <w:i/>
          <w:iCs/>
        </w:rPr>
        <w:t xml:space="preserve">Planning, Development and Infrastructure Act 2016 </w:t>
      </w:r>
      <w:r w:rsidR="00B640F3">
        <w:t>(PDI Act)</w:t>
      </w:r>
      <w:r w:rsidR="00B640F3">
        <w:rPr>
          <w:i/>
          <w:iCs/>
        </w:rPr>
        <w:t xml:space="preserve">. </w:t>
      </w:r>
    </w:p>
    <w:p w14:paraId="4720DA60" w14:textId="77777777" w:rsidR="009F3792" w:rsidRDefault="009F3792" w:rsidP="009F3792">
      <w:pPr>
        <w:jc w:val="both"/>
      </w:pPr>
      <w:r>
        <w:t xml:space="preserve">Development is defined by the PDI Act, and the </w:t>
      </w:r>
      <w:r w:rsidRPr="009F3792">
        <w:rPr>
          <w:i/>
          <w:iCs/>
        </w:rPr>
        <w:t xml:space="preserve">Planning Development Infrastructure (general) Regulations 2017 </w:t>
      </w:r>
      <w:r>
        <w:t>and includes:</w:t>
      </w:r>
    </w:p>
    <w:p w14:paraId="6DB92ED3" w14:textId="25F5F7E3" w:rsidR="00B640F3" w:rsidRDefault="00B640F3" w:rsidP="00B640F3">
      <w:pPr>
        <w:pStyle w:val="ListParagraph"/>
        <w:numPr>
          <w:ilvl w:val="0"/>
          <w:numId w:val="3"/>
        </w:numPr>
        <w:jc w:val="both"/>
      </w:pPr>
      <w:r>
        <w:t>Building work</w:t>
      </w:r>
    </w:p>
    <w:p w14:paraId="61B31252" w14:textId="005CDC4F" w:rsidR="00B640F3" w:rsidRDefault="00B640F3" w:rsidP="00B640F3">
      <w:pPr>
        <w:pStyle w:val="ListParagraph"/>
        <w:numPr>
          <w:ilvl w:val="0"/>
          <w:numId w:val="3"/>
        </w:numPr>
        <w:jc w:val="both"/>
      </w:pPr>
      <w:r>
        <w:t>The demolition, removal, conversion, alteration or painting of, or addition to a State Heritage Place</w:t>
      </w:r>
      <w:r w:rsidR="00191BCF">
        <w:t>*</w:t>
      </w:r>
    </w:p>
    <w:p w14:paraId="1B963927" w14:textId="0D3CA16D" w:rsidR="00B640F3" w:rsidRDefault="00B640F3" w:rsidP="00B640F3">
      <w:pPr>
        <w:pStyle w:val="ListParagraph"/>
        <w:numPr>
          <w:ilvl w:val="0"/>
          <w:numId w:val="3"/>
        </w:numPr>
        <w:jc w:val="both"/>
      </w:pPr>
      <w:r>
        <w:t>Any work that could materially affect the heritage value of the place</w:t>
      </w:r>
      <w:r w:rsidR="00A80CAA">
        <w:t xml:space="preserve">. </w:t>
      </w:r>
    </w:p>
    <w:p w14:paraId="503107E6" w14:textId="3E2CCBA0" w:rsidR="00191BCF" w:rsidRPr="00423E24" w:rsidRDefault="00A80CAA" w:rsidP="00191BCF">
      <w:pPr>
        <w:jc w:val="both"/>
        <w:rPr>
          <w:b/>
          <w:bCs/>
          <w:u w:val="single"/>
        </w:rPr>
      </w:pPr>
      <w:r>
        <w:rPr>
          <w:b/>
          <w:bCs/>
        </w:rPr>
        <w:t>*</w:t>
      </w:r>
      <w:r w:rsidR="00191BCF">
        <w:rPr>
          <w:b/>
          <w:bCs/>
        </w:rPr>
        <w:t xml:space="preserve">To note: </w:t>
      </w:r>
      <w:r w:rsidR="006D6083">
        <w:t>Legally, a</w:t>
      </w:r>
      <w:r w:rsidR="00191BCF" w:rsidRPr="00A80CAA">
        <w:t>ny property within a State Heritage Area</w:t>
      </w:r>
      <w:r w:rsidR="00456EB9" w:rsidRPr="00A80CAA">
        <w:t xml:space="preserve"> is also considered a State Heritage Place</w:t>
      </w:r>
      <w:r w:rsidR="006D6083">
        <w:t xml:space="preserve">. </w:t>
      </w:r>
      <w:r w:rsidR="00456EB9">
        <w:rPr>
          <w:b/>
          <w:bCs/>
          <w:u w:val="single"/>
        </w:rPr>
        <w:t xml:space="preserve"> </w:t>
      </w:r>
    </w:p>
    <w:p w14:paraId="6496EDDE" w14:textId="0BEA873F" w:rsidR="00191BCF" w:rsidRPr="00A80CAA" w:rsidRDefault="00191BCF" w:rsidP="00191BCF">
      <w:pPr>
        <w:jc w:val="both"/>
      </w:pPr>
      <w:r>
        <w:t xml:space="preserve">Below is a diagram that illustrates the relationship between the </w:t>
      </w:r>
      <w:r>
        <w:rPr>
          <w:i/>
          <w:iCs/>
        </w:rPr>
        <w:t xml:space="preserve">Planning, Development and Infrastructure Act 2016 </w:t>
      </w:r>
      <w:r>
        <w:t xml:space="preserve">and the </w:t>
      </w:r>
      <w:r>
        <w:rPr>
          <w:i/>
          <w:iCs/>
        </w:rPr>
        <w:t>Heritage Places Act 1993</w:t>
      </w:r>
      <w:r w:rsidR="00A80CAA">
        <w:t xml:space="preserve">: </w:t>
      </w:r>
    </w:p>
    <w:p w14:paraId="12BFDC30" w14:textId="5924C8DC" w:rsidR="00191BCF" w:rsidRPr="00191BCF" w:rsidRDefault="00191BCF" w:rsidP="00423E24">
      <w:pPr>
        <w:jc w:val="center"/>
      </w:pPr>
      <w:r w:rsidRPr="00191BCF">
        <w:rPr>
          <w:noProof/>
          <w:lang w:eastAsia="en-AU"/>
        </w:rPr>
        <w:drawing>
          <wp:inline distT="0" distB="0" distL="0" distR="0" wp14:anchorId="47BFA30E" wp14:editId="6A4746D3">
            <wp:extent cx="4462039" cy="506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5245" cy="507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BCF" w:rsidRPr="00191BC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6E558" w16cex:dateUtc="2023-06-16T04:12:00Z"/>
  <w16cex:commentExtensible w16cex:durableId="2836E76B" w16cex:dateUtc="2023-06-16T0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3F9964" w16cid:durableId="2836E558"/>
  <w16cid:commentId w16cid:paraId="5BD2914C" w16cid:durableId="2836E7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7BC68" w14:textId="77777777" w:rsidR="006C4223" w:rsidRDefault="006C4223" w:rsidP="006C4223">
      <w:pPr>
        <w:spacing w:after="0" w:line="240" w:lineRule="auto"/>
      </w:pPr>
      <w:r>
        <w:separator/>
      </w:r>
    </w:p>
  </w:endnote>
  <w:endnote w:type="continuationSeparator" w:id="0">
    <w:p w14:paraId="685D275D" w14:textId="77777777" w:rsidR="006C4223" w:rsidRDefault="006C4223" w:rsidP="006C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9477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AA3A1" w14:textId="09A4B2F5" w:rsidR="006C4223" w:rsidRDefault="006C42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F7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131AD4E" w14:textId="77777777" w:rsidR="006C4223" w:rsidRDefault="006C4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CD887" w14:textId="77777777" w:rsidR="006C4223" w:rsidRDefault="006C4223" w:rsidP="006C4223">
      <w:pPr>
        <w:spacing w:after="0" w:line="240" w:lineRule="auto"/>
      </w:pPr>
      <w:r>
        <w:separator/>
      </w:r>
    </w:p>
  </w:footnote>
  <w:footnote w:type="continuationSeparator" w:id="0">
    <w:p w14:paraId="25D33AFC" w14:textId="77777777" w:rsidR="006C4223" w:rsidRDefault="006C4223" w:rsidP="006C4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F382A"/>
    <w:multiLevelType w:val="hybridMultilevel"/>
    <w:tmpl w:val="BB9E271C"/>
    <w:lvl w:ilvl="0" w:tplc="9C2026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3AB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C02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409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A632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46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2A2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A66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54DD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41399"/>
    <w:multiLevelType w:val="hybridMultilevel"/>
    <w:tmpl w:val="648491CE"/>
    <w:lvl w:ilvl="0" w:tplc="80E07A3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D39AF"/>
    <w:multiLevelType w:val="hybridMultilevel"/>
    <w:tmpl w:val="30BA9680"/>
    <w:lvl w:ilvl="0" w:tplc="1A5695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126B7"/>
    <w:multiLevelType w:val="hybridMultilevel"/>
    <w:tmpl w:val="4720248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21"/>
    <w:rsid w:val="000736C3"/>
    <w:rsid w:val="00073A81"/>
    <w:rsid w:val="000D4016"/>
    <w:rsid w:val="00151AC2"/>
    <w:rsid w:val="001562E6"/>
    <w:rsid w:val="00162621"/>
    <w:rsid w:val="00191BCF"/>
    <w:rsid w:val="00205751"/>
    <w:rsid w:val="00261EC4"/>
    <w:rsid w:val="002D7A26"/>
    <w:rsid w:val="003003A8"/>
    <w:rsid w:val="00303680"/>
    <w:rsid w:val="00306306"/>
    <w:rsid w:val="0033772E"/>
    <w:rsid w:val="0034432D"/>
    <w:rsid w:val="003712D0"/>
    <w:rsid w:val="00384CF5"/>
    <w:rsid w:val="00386739"/>
    <w:rsid w:val="00413BD9"/>
    <w:rsid w:val="00423E24"/>
    <w:rsid w:val="00456EB9"/>
    <w:rsid w:val="00482DE6"/>
    <w:rsid w:val="004A2A4E"/>
    <w:rsid w:val="004A368B"/>
    <w:rsid w:val="004E7A29"/>
    <w:rsid w:val="00537709"/>
    <w:rsid w:val="00556619"/>
    <w:rsid w:val="005B546D"/>
    <w:rsid w:val="00602083"/>
    <w:rsid w:val="00625965"/>
    <w:rsid w:val="006969D3"/>
    <w:rsid w:val="006C13E0"/>
    <w:rsid w:val="006C4223"/>
    <w:rsid w:val="006D6083"/>
    <w:rsid w:val="00742089"/>
    <w:rsid w:val="007810FF"/>
    <w:rsid w:val="007A7BAF"/>
    <w:rsid w:val="007F344A"/>
    <w:rsid w:val="00806D57"/>
    <w:rsid w:val="008623E1"/>
    <w:rsid w:val="008F35AB"/>
    <w:rsid w:val="008F5BF4"/>
    <w:rsid w:val="00937108"/>
    <w:rsid w:val="009749F7"/>
    <w:rsid w:val="00977AD5"/>
    <w:rsid w:val="00986458"/>
    <w:rsid w:val="009F3792"/>
    <w:rsid w:val="00A32270"/>
    <w:rsid w:val="00A626D0"/>
    <w:rsid w:val="00A72C56"/>
    <w:rsid w:val="00A80CAA"/>
    <w:rsid w:val="00AA604A"/>
    <w:rsid w:val="00AE4477"/>
    <w:rsid w:val="00B409C6"/>
    <w:rsid w:val="00B62051"/>
    <w:rsid w:val="00B640F3"/>
    <w:rsid w:val="00B8032D"/>
    <w:rsid w:val="00B967E8"/>
    <w:rsid w:val="00BB54F0"/>
    <w:rsid w:val="00C03C39"/>
    <w:rsid w:val="00C11559"/>
    <w:rsid w:val="00C15486"/>
    <w:rsid w:val="00CA6F18"/>
    <w:rsid w:val="00CB3162"/>
    <w:rsid w:val="00CB72BC"/>
    <w:rsid w:val="00D77524"/>
    <w:rsid w:val="00DE5F7A"/>
    <w:rsid w:val="00DF2B34"/>
    <w:rsid w:val="00DF3446"/>
    <w:rsid w:val="00E64D07"/>
    <w:rsid w:val="00E838B9"/>
    <w:rsid w:val="00EB25DB"/>
    <w:rsid w:val="00EE7EEA"/>
    <w:rsid w:val="00F71E05"/>
    <w:rsid w:val="00F80788"/>
    <w:rsid w:val="00F85102"/>
    <w:rsid w:val="00FA2A5A"/>
    <w:rsid w:val="00FE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F4491"/>
  <w15:chartTrackingRefBased/>
  <w15:docId w15:val="{29508841-D05C-4288-8449-9BBBE277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36C3"/>
    <w:pPr>
      <w:ind w:left="720"/>
      <w:contextualSpacing/>
    </w:pPr>
  </w:style>
  <w:style w:type="paragraph" w:customStyle="1" w:styleId="Normalitalics">
    <w:name w:val="Normal italics"/>
    <w:basedOn w:val="Normal"/>
    <w:qFormat/>
    <w:rsid w:val="00073A81"/>
    <w:pPr>
      <w:spacing w:line="250" w:lineRule="exact"/>
    </w:pPr>
    <w:rPr>
      <w:i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C4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2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2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22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223"/>
  </w:style>
  <w:style w:type="paragraph" w:styleId="Footer">
    <w:name w:val="footer"/>
    <w:basedOn w:val="Normal"/>
    <w:link w:val="FooterChar"/>
    <w:uiPriority w:val="99"/>
    <w:unhideWhenUsed/>
    <w:rsid w:val="006C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223"/>
  </w:style>
  <w:style w:type="paragraph" w:styleId="Revision">
    <w:name w:val="Revision"/>
    <w:hidden/>
    <w:uiPriority w:val="99"/>
    <w:semiHidden/>
    <w:rsid w:val="00FA2A5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9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5C8D5-F808-4F3C-8255-9A2BB5EE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Justine (DEW)</dc:creator>
  <cp:keywords/>
  <dc:description/>
  <cp:lastModifiedBy>Williams, Jodi (DEW)</cp:lastModifiedBy>
  <cp:revision>7</cp:revision>
  <dcterms:created xsi:type="dcterms:W3CDTF">2023-03-23T01:38:00Z</dcterms:created>
  <dcterms:modified xsi:type="dcterms:W3CDTF">2023-06-28T05:04:00Z</dcterms:modified>
</cp:coreProperties>
</file>