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2D151A" w14:textId="38A7E986" w:rsidR="00073A81" w:rsidRDefault="00073A81" w:rsidP="00073A81">
      <w:pPr>
        <w:spacing w:after="0"/>
        <w:jc w:val="center"/>
        <w:rPr>
          <w:b/>
          <w:bCs/>
          <w:sz w:val="36"/>
          <w:szCs w:val="36"/>
        </w:rPr>
      </w:pPr>
      <w:bookmarkStart w:id="0" w:name="_GoBack"/>
      <w:r w:rsidRPr="006547CD">
        <w:rPr>
          <w:b/>
          <w:bCs/>
          <w:sz w:val="36"/>
          <w:szCs w:val="36"/>
        </w:rPr>
        <w:t>DRAFT</w:t>
      </w:r>
      <w:bookmarkEnd w:id="0"/>
      <w:r>
        <w:rPr>
          <w:b/>
          <w:bCs/>
          <w:color w:val="FF0000"/>
          <w:sz w:val="36"/>
          <w:szCs w:val="36"/>
        </w:rPr>
        <w:t xml:space="preserve"> </w:t>
      </w:r>
      <w:r w:rsidRPr="00DC1CA5">
        <w:rPr>
          <w:b/>
          <w:bCs/>
          <w:sz w:val="36"/>
          <w:szCs w:val="36"/>
        </w:rPr>
        <w:t>HERITAGE STANDARD</w:t>
      </w:r>
      <w:r w:rsidR="00CA6F18">
        <w:rPr>
          <w:b/>
          <w:bCs/>
          <w:sz w:val="36"/>
          <w:szCs w:val="36"/>
        </w:rPr>
        <w:t xml:space="preserve"> FOR </w:t>
      </w:r>
      <w:r w:rsidR="0019248E">
        <w:rPr>
          <w:b/>
          <w:bCs/>
          <w:sz w:val="36"/>
          <w:szCs w:val="36"/>
        </w:rPr>
        <w:t>HAHNDORF</w:t>
      </w:r>
      <w:r w:rsidR="00CA6F18">
        <w:rPr>
          <w:b/>
          <w:bCs/>
          <w:sz w:val="36"/>
          <w:szCs w:val="36"/>
        </w:rPr>
        <w:t xml:space="preserve"> STATE HERITAGE AREA</w:t>
      </w:r>
    </w:p>
    <w:p w14:paraId="1252667A" w14:textId="7E321C99" w:rsidR="00073A81" w:rsidRPr="006C4223" w:rsidRDefault="00073A81" w:rsidP="00073A81">
      <w:pPr>
        <w:spacing w:after="0"/>
        <w:jc w:val="center"/>
        <w:rPr>
          <w:b/>
          <w:bCs/>
          <w:sz w:val="24"/>
          <w:szCs w:val="24"/>
        </w:rPr>
      </w:pPr>
    </w:p>
    <w:p w14:paraId="7355F963" w14:textId="20D3A8F9" w:rsidR="0019248E" w:rsidRDefault="00073A81" w:rsidP="00073A81">
      <w:pPr>
        <w:spacing w:after="0"/>
        <w:jc w:val="center"/>
        <w:rPr>
          <w:b/>
          <w:bCs/>
          <w:sz w:val="32"/>
          <w:szCs w:val="32"/>
        </w:rPr>
      </w:pPr>
      <w:r w:rsidRPr="00073A81">
        <w:rPr>
          <w:b/>
          <w:bCs/>
          <w:sz w:val="32"/>
          <w:szCs w:val="32"/>
        </w:rPr>
        <w:t>FACT SHEET</w:t>
      </w:r>
    </w:p>
    <w:p w14:paraId="0C55A62E" w14:textId="77777777" w:rsidR="0019248E" w:rsidRDefault="0019248E" w:rsidP="0019248E">
      <w:pPr>
        <w:spacing w:after="0"/>
        <w:jc w:val="center"/>
        <w:rPr>
          <w:b/>
          <w:bCs/>
          <w:sz w:val="18"/>
          <w:szCs w:val="18"/>
        </w:rPr>
      </w:pPr>
    </w:p>
    <w:p w14:paraId="3B107140" w14:textId="6589B9C4" w:rsidR="00A57D45" w:rsidRPr="000A5A14" w:rsidRDefault="0019248E" w:rsidP="00D3584A">
      <w:pPr>
        <w:tabs>
          <w:tab w:val="left" w:pos="2552"/>
        </w:tabs>
        <w:jc w:val="both"/>
      </w:pPr>
      <w:proofErr w:type="gramStart"/>
      <w:r>
        <w:rPr>
          <w:b/>
          <w:bCs/>
        </w:rPr>
        <w:t xml:space="preserve">Hahndorf </w:t>
      </w:r>
      <w:r>
        <w:t>State Heritage Area</w:t>
      </w:r>
      <w:r w:rsidR="0054031F">
        <w:t xml:space="preserve"> is widely acknowledged as the oldest surviving German settlement in Australia</w:t>
      </w:r>
      <w:r w:rsidR="00A57D45">
        <w:t xml:space="preserve"> and provides an insight into the important facets of the pioneer German way of life.</w:t>
      </w:r>
      <w:proofErr w:type="gramEnd"/>
      <w:r w:rsidR="00A57D45">
        <w:t xml:space="preserve"> </w:t>
      </w:r>
      <w:r w:rsidR="00406262">
        <w:t xml:space="preserve">The layout of Hahndorf is unique and </w:t>
      </w:r>
      <w:r w:rsidR="00A57D45">
        <w:t>encompasses a combination of Strassendorf and Hufendorf layout archetypes</w:t>
      </w:r>
      <w:r w:rsidR="00406262">
        <w:t xml:space="preserve">. </w:t>
      </w:r>
      <w:r w:rsidR="00A57D45">
        <w:t>Hahndorf is one of the few Australian towns with a significant number of buildings that reflect a distinctive German Character</w:t>
      </w:r>
      <w:r w:rsidR="0024585A">
        <w:t>.</w:t>
      </w:r>
      <w:r w:rsidR="00E42A3B">
        <w:t xml:space="preserve"> </w:t>
      </w:r>
    </w:p>
    <w:p w14:paraId="0689C972" w14:textId="5BCB6BC9" w:rsidR="00151AC2" w:rsidRDefault="00DF3446" w:rsidP="00625965">
      <w:r>
        <w:t xml:space="preserve">State Heritage Areas </w:t>
      </w:r>
      <w:r w:rsidR="0054031F">
        <w:t>are</w:t>
      </w:r>
      <w:r w:rsidR="000736C3">
        <w:t xml:space="preserve"> protected under the Planning and Design Code by:</w:t>
      </w:r>
    </w:p>
    <w:p w14:paraId="4C4638C4" w14:textId="559584F8" w:rsidR="000736C3" w:rsidRPr="00261EC4" w:rsidRDefault="000736C3" w:rsidP="000736C3">
      <w:pPr>
        <w:pStyle w:val="ListParagraph"/>
        <w:numPr>
          <w:ilvl w:val="0"/>
          <w:numId w:val="1"/>
        </w:numPr>
        <w:rPr>
          <w:b/>
          <w:bCs/>
        </w:rPr>
      </w:pPr>
      <w:r w:rsidRPr="00261EC4">
        <w:rPr>
          <w:b/>
          <w:bCs/>
        </w:rPr>
        <w:t>State Heritage Area Overlay</w:t>
      </w:r>
    </w:p>
    <w:p w14:paraId="2B99B54B" w14:textId="46E55CA9" w:rsidR="00004C0F" w:rsidRDefault="00602083" w:rsidP="00602083">
      <w:pPr>
        <w:jc w:val="both"/>
      </w:pPr>
      <w:r>
        <w:t>The State Heritage Area overlay ensures changes to and development within an area are managed in a way that maintains the area’s cultural significance. This means alterations and additions to existing buildings or new buildings are assessed against – and uphold – the heritage values of the St</w:t>
      </w:r>
      <w:r w:rsidR="00A32270">
        <w:t>ate</w:t>
      </w:r>
      <w:r>
        <w:t xml:space="preserve"> Heritage Area. </w:t>
      </w:r>
      <w:r w:rsidR="00E42A3B">
        <w:t xml:space="preserve">As well as </w:t>
      </w:r>
      <w:r>
        <w:t xml:space="preserve">outlining the policies controlling demolition, design, new </w:t>
      </w:r>
      <w:r w:rsidR="000D4016">
        <w:t>buildings,</w:t>
      </w:r>
      <w:r>
        <w:t xml:space="preserve"> and additions</w:t>
      </w:r>
      <w:r w:rsidR="008A394E">
        <w:t>,</w:t>
      </w:r>
      <w:r>
        <w:t xml:space="preserve"> </w:t>
      </w:r>
      <w:r w:rsidR="00E42A3B">
        <w:t>the Heritage Standard</w:t>
      </w:r>
      <w:r>
        <w:t xml:space="preserve"> provides for better recognition of public </w:t>
      </w:r>
      <w:r w:rsidR="00A32270">
        <w:t>areas and</w:t>
      </w:r>
      <w:r>
        <w:t xml:space="preserve"> sets out referrals to the Minister </w:t>
      </w:r>
      <w:r w:rsidR="008A394E">
        <w:t xml:space="preserve">responsible for the </w:t>
      </w:r>
      <w:r w:rsidRPr="008A394E">
        <w:rPr>
          <w:i/>
          <w:iCs/>
        </w:rPr>
        <w:t>Heritage</w:t>
      </w:r>
      <w:r w:rsidR="008A394E" w:rsidRPr="008A394E">
        <w:rPr>
          <w:i/>
          <w:iCs/>
        </w:rPr>
        <w:t xml:space="preserve"> Places Act 1993</w:t>
      </w:r>
      <w:r>
        <w:t>. The State Heritage Area Overlay takes precedence over the policies contained in the underlying zone</w:t>
      </w:r>
      <w:r w:rsidR="000D4016">
        <w:t>/s</w:t>
      </w:r>
      <w:r w:rsidR="00073A81">
        <w:t xml:space="preserve"> and general policies in the Planning and Design Code</w:t>
      </w:r>
      <w:r>
        <w:t>.</w:t>
      </w:r>
      <w:r w:rsidR="00073A81">
        <w:t xml:space="preserve"> </w:t>
      </w:r>
    </w:p>
    <w:p w14:paraId="15AF6F63" w14:textId="4BCC5404" w:rsidR="006969D3" w:rsidRPr="00261EC4" w:rsidRDefault="006969D3" w:rsidP="006969D3">
      <w:pPr>
        <w:pStyle w:val="ListParagraph"/>
        <w:numPr>
          <w:ilvl w:val="0"/>
          <w:numId w:val="1"/>
        </w:numPr>
        <w:rPr>
          <w:b/>
          <w:bCs/>
        </w:rPr>
      </w:pPr>
      <w:r w:rsidRPr="00261EC4">
        <w:rPr>
          <w:b/>
          <w:bCs/>
        </w:rPr>
        <w:t>Ministerial Power of Direction</w:t>
      </w:r>
    </w:p>
    <w:p w14:paraId="4918AE2B" w14:textId="738B9C87" w:rsidR="00004C0F" w:rsidRDefault="00073A81" w:rsidP="00306306">
      <w:pPr>
        <w:jc w:val="both"/>
      </w:pPr>
      <w:r w:rsidRPr="00073A81">
        <w:t xml:space="preserve">Development within </w:t>
      </w:r>
      <w:r>
        <w:t>a State Heritage Area</w:t>
      </w:r>
      <w:r w:rsidRPr="00073A81">
        <w:t xml:space="preserve"> that may impact on its heritage values must be referred to the Minister responsible for the </w:t>
      </w:r>
      <w:r w:rsidRPr="00073A81">
        <w:rPr>
          <w:i/>
          <w:iCs/>
        </w:rPr>
        <w:t>Heritage Places Act 1993</w:t>
      </w:r>
      <w:r w:rsidRPr="00073A81">
        <w:t>.</w:t>
      </w:r>
      <w:r>
        <w:t xml:space="preserve"> </w:t>
      </w:r>
      <w:r w:rsidR="006969D3">
        <w:t>The Minister has authority to direct decisions on development applications that directly affect a State Heritage Place</w:t>
      </w:r>
      <w:r w:rsidR="00A556EA">
        <w:t xml:space="preserve"> or Area</w:t>
      </w:r>
      <w:r w:rsidR="006969D3">
        <w:t xml:space="preserve">. This means that the Minister (or their delegate) can </w:t>
      </w:r>
      <w:r w:rsidR="008E293C" w:rsidRPr="008E293C">
        <w:t xml:space="preserve">confirm support, or direct conditions of approval, or </w:t>
      </w:r>
      <w:r w:rsidR="006969D3">
        <w:t xml:space="preserve">direct </w:t>
      </w:r>
      <w:r w:rsidR="000A2BC1">
        <w:t>the</w:t>
      </w:r>
      <w:r w:rsidR="006969D3">
        <w:t xml:space="preserve"> relevant authority to refuse development applications if they are considered to have an inappropriate impact on the State Heritage Area.</w:t>
      </w:r>
    </w:p>
    <w:p w14:paraId="6BBFAF86" w14:textId="60FA80E4" w:rsidR="000736C3" w:rsidRDefault="000736C3" w:rsidP="000736C3">
      <w:pPr>
        <w:pStyle w:val="ListParagraph"/>
        <w:numPr>
          <w:ilvl w:val="0"/>
          <w:numId w:val="1"/>
        </w:numPr>
        <w:rPr>
          <w:b/>
          <w:bCs/>
        </w:rPr>
      </w:pPr>
      <w:r w:rsidRPr="00261EC4">
        <w:rPr>
          <w:b/>
          <w:bCs/>
        </w:rPr>
        <w:t>Heritage Standard</w:t>
      </w:r>
    </w:p>
    <w:p w14:paraId="65C86D2B" w14:textId="77777777" w:rsidR="006969D3" w:rsidRDefault="006969D3" w:rsidP="00306306">
      <w:pPr>
        <w:jc w:val="both"/>
      </w:pPr>
      <w:r>
        <w:t xml:space="preserve">Applications for development approval in a State Heritage Area are required to be referred, by the relevant authority, to the Minister responsible for the </w:t>
      </w:r>
      <w:r w:rsidRPr="006969D3">
        <w:rPr>
          <w:i/>
          <w:iCs/>
        </w:rPr>
        <w:t>Heritage Places Act 1993</w:t>
      </w:r>
      <w:r>
        <w:t>. The Minister delegates assessment and decisions to Heritage South Australia in the Department for Environment and Water.</w:t>
      </w:r>
    </w:p>
    <w:p w14:paraId="5F9D2F99" w14:textId="28E88B83" w:rsidR="00073A81" w:rsidRDefault="00306306" w:rsidP="00306306">
      <w:pPr>
        <w:jc w:val="both"/>
      </w:pPr>
      <w:r>
        <w:t xml:space="preserve">A </w:t>
      </w:r>
      <w:r w:rsidR="006969D3">
        <w:t>Heritage Standard</w:t>
      </w:r>
      <w:r>
        <w:t xml:space="preserve"> is </w:t>
      </w:r>
      <w:r w:rsidR="006969D3">
        <w:t xml:space="preserve">an assessment tool, linked to the State Heritage Area Overlay within the Planning and Design Code. </w:t>
      </w:r>
      <w:r w:rsidR="007A7BAF">
        <w:t xml:space="preserve">The </w:t>
      </w:r>
      <w:r w:rsidR="006969D3">
        <w:t>Heritage Standard</w:t>
      </w:r>
      <w:r w:rsidR="007A7BAF">
        <w:t xml:space="preserve"> </w:t>
      </w:r>
      <w:r w:rsidR="006969D3">
        <w:t>provide</w:t>
      </w:r>
      <w:r w:rsidR="007A7BAF">
        <w:t>s</w:t>
      </w:r>
      <w:r w:rsidR="006969D3">
        <w:t xml:space="preserve"> principles and acceptable minimum standards for development proposals and form</w:t>
      </w:r>
      <w:r w:rsidR="007A7BAF">
        <w:t>s</w:t>
      </w:r>
      <w:r w:rsidR="006969D3">
        <w:t xml:space="preserve"> the basis of Heritage South Australia’s decisions on proposed development referrals.</w:t>
      </w:r>
      <w:r w:rsidR="00A556EA">
        <w:t xml:space="preserve"> </w:t>
      </w:r>
    </w:p>
    <w:p w14:paraId="33445A85" w14:textId="1AB663D6" w:rsidR="00CB1082" w:rsidRDefault="004A2A4E" w:rsidP="00306306">
      <w:pPr>
        <w:jc w:val="both"/>
      </w:pPr>
      <w:r>
        <w:t>Heritage South Australia is in the process of developing Heritage Standards for all State Heritage Areas, replacing the current guidelines for development. The Heritage Standard for the Colonel Light Gardens State Heritage Area w</w:t>
      </w:r>
      <w:r w:rsidR="000A2BC1">
        <w:t xml:space="preserve">as </w:t>
      </w:r>
      <w:r>
        <w:t xml:space="preserve">the first to be completed </w:t>
      </w:r>
      <w:r w:rsidR="0024585A">
        <w:t xml:space="preserve">and </w:t>
      </w:r>
      <w:r>
        <w:t>w</w:t>
      </w:r>
      <w:r w:rsidR="00D3584A">
        <w:t>as</w:t>
      </w:r>
      <w:r>
        <w:t xml:space="preserve"> developed by Heritage South Australia</w:t>
      </w:r>
      <w:r w:rsidR="000A2BC1">
        <w:t xml:space="preserve"> </w:t>
      </w:r>
      <w:r>
        <w:t>in consultation with landowners an</w:t>
      </w:r>
      <w:r w:rsidR="002D7A26">
        <w:t>d</w:t>
      </w:r>
      <w:r>
        <w:t xml:space="preserve"> key stakeholders. </w:t>
      </w:r>
    </w:p>
    <w:p w14:paraId="5D669081" w14:textId="65801CEB" w:rsidR="002D7A26" w:rsidRDefault="002D7A26" w:rsidP="00306306">
      <w:pPr>
        <w:jc w:val="both"/>
      </w:pPr>
      <w:r>
        <w:lastRenderedPageBreak/>
        <w:t xml:space="preserve">For State Heritage Areas where Heritage Standards are yet to be developed, Heritage South Australia will continue to use the existing guidelines for development. </w:t>
      </w:r>
    </w:p>
    <w:p w14:paraId="2360137F" w14:textId="77777777" w:rsidR="00D3584A" w:rsidRDefault="00625965" w:rsidP="000D7681">
      <w:pPr>
        <w:pStyle w:val="ListParagraph"/>
        <w:numPr>
          <w:ilvl w:val="0"/>
          <w:numId w:val="1"/>
        </w:numPr>
        <w:rPr>
          <w:b/>
          <w:bCs/>
        </w:rPr>
      </w:pPr>
      <w:r w:rsidRPr="00D3584A">
        <w:rPr>
          <w:b/>
          <w:bCs/>
        </w:rPr>
        <w:t xml:space="preserve">Zoning </w:t>
      </w:r>
    </w:p>
    <w:p w14:paraId="735D294F" w14:textId="6B1C878C" w:rsidR="0034268E" w:rsidRPr="0034268E" w:rsidRDefault="0034268E" w:rsidP="0034268E">
      <w:pPr>
        <w:jc w:val="both"/>
      </w:pPr>
      <w:r w:rsidRPr="0034268E">
        <w:t>The Hahndorf State Heritage Area is primarily located within a Township Main Street and Township Neighbourhood Zone</w:t>
      </w:r>
      <w:r w:rsidR="008E293C">
        <w:t xml:space="preserve"> of the Planning and Design Code</w:t>
      </w:r>
      <w:r w:rsidRPr="0034268E">
        <w:t xml:space="preserve">. Development within a Township Main Street Zone must contribute to the vibrancy and activity of public spaces and reinforce the traditional main street character. </w:t>
      </w:r>
      <w:r>
        <w:t xml:space="preserve">The Township Neighbourhood Zone also recognises that any development must contribute and enhance township streetscapes and original settlement patterns. </w:t>
      </w:r>
    </w:p>
    <w:p w14:paraId="6347E4CC" w14:textId="76AA4752" w:rsidR="00B640F3" w:rsidRPr="00406262" w:rsidRDefault="00B640F3" w:rsidP="00406262">
      <w:pPr>
        <w:pStyle w:val="ListParagraph"/>
        <w:numPr>
          <w:ilvl w:val="0"/>
          <w:numId w:val="1"/>
        </w:numPr>
        <w:jc w:val="both"/>
        <w:rPr>
          <w:b/>
          <w:bCs/>
        </w:rPr>
      </w:pPr>
      <w:r w:rsidRPr="00406262">
        <w:rPr>
          <w:b/>
          <w:bCs/>
        </w:rPr>
        <w:t xml:space="preserve">What kind of development is allowed in a State Heritage Area? </w:t>
      </w:r>
    </w:p>
    <w:p w14:paraId="610835AD" w14:textId="068C270A" w:rsidR="00B640F3" w:rsidRDefault="00B640F3" w:rsidP="00602083">
      <w:pPr>
        <w:jc w:val="both"/>
        <w:rPr>
          <w:i/>
          <w:iCs/>
        </w:rPr>
      </w:pPr>
      <w:r>
        <w:t>Any development within a State Heritage Area</w:t>
      </w:r>
      <w:r>
        <w:rPr>
          <w:i/>
          <w:iCs/>
        </w:rPr>
        <w:t xml:space="preserve"> </w:t>
      </w:r>
      <w:r>
        <w:t xml:space="preserve">must be approved by the relevant (planning) authority in accordance with the </w:t>
      </w:r>
      <w:r>
        <w:rPr>
          <w:i/>
          <w:iCs/>
        </w:rPr>
        <w:t xml:space="preserve">Planning, Development and Infrastructure Act 2016 </w:t>
      </w:r>
      <w:r>
        <w:t>(PDI Act)</w:t>
      </w:r>
      <w:r>
        <w:rPr>
          <w:i/>
          <w:iCs/>
        </w:rPr>
        <w:t xml:space="preserve">. </w:t>
      </w:r>
    </w:p>
    <w:p w14:paraId="7946293D" w14:textId="1AC409D0" w:rsidR="00B640F3" w:rsidRDefault="00B640F3" w:rsidP="00602083">
      <w:pPr>
        <w:jc w:val="both"/>
      </w:pPr>
      <w:bookmarkStart w:id="1" w:name="_Hlk128987848"/>
      <w:proofErr w:type="gramStart"/>
      <w:r>
        <w:t xml:space="preserve">Development is defined by the PDI Act, and the </w:t>
      </w:r>
      <w:r w:rsidRPr="00B640F3">
        <w:rPr>
          <w:i/>
          <w:iCs/>
        </w:rPr>
        <w:t xml:space="preserve">Planning Development Infrastructure (general) Regulations 2017 </w:t>
      </w:r>
      <w:r>
        <w:t>and includes:</w:t>
      </w:r>
      <w:proofErr w:type="gramEnd"/>
    </w:p>
    <w:bookmarkEnd w:id="1"/>
    <w:p w14:paraId="6DB92ED3" w14:textId="25F5F7E3" w:rsidR="00B640F3" w:rsidRDefault="00B640F3" w:rsidP="00B640F3">
      <w:pPr>
        <w:pStyle w:val="ListParagraph"/>
        <w:numPr>
          <w:ilvl w:val="0"/>
          <w:numId w:val="3"/>
        </w:numPr>
        <w:jc w:val="both"/>
      </w:pPr>
      <w:r>
        <w:t>Building work</w:t>
      </w:r>
    </w:p>
    <w:p w14:paraId="61B31252" w14:textId="005CDC4F" w:rsidR="00B640F3" w:rsidRDefault="00B640F3" w:rsidP="00B640F3">
      <w:pPr>
        <w:pStyle w:val="ListParagraph"/>
        <w:numPr>
          <w:ilvl w:val="0"/>
          <w:numId w:val="3"/>
        </w:numPr>
        <w:jc w:val="both"/>
      </w:pPr>
      <w:r>
        <w:t>The demolition, removal, conversion, alteration or painting of, or addition to a State Heritage Place</w:t>
      </w:r>
      <w:r w:rsidR="00191BCF">
        <w:t>*</w:t>
      </w:r>
    </w:p>
    <w:p w14:paraId="1B963927" w14:textId="2D54734D" w:rsidR="00B640F3" w:rsidRDefault="00B640F3" w:rsidP="00B640F3">
      <w:pPr>
        <w:pStyle w:val="ListParagraph"/>
        <w:numPr>
          <w:ilvl w:val="0"/>
          <w:numId w:val="3"/>
        </w:numPr>
        <w:jc w:val="both"/>
      </w:pPr>
      <w:r>
        <w:t>Any work that could materially affect the heritage value of the place</w:t>
      </w:r>
    </w:p>
    <w:p w14:paraId="503107E6" w14:textId="76B110BD" w:rsidR="00191BCF" w:rsidRPr="00423E24" w:rsidRDefault="00EB3815" w:rsidP="00191BCF">
      <w:pPr>
        <w:jc w:val="both"/>
        <w:rPr>
          <w:b/>
          <w:bCs/>
          <w:u w:val="single"/>
        </w:rPr>
      </w:pPr>
      <w:r>
        <w:rPr>
          <w:b/>
          <w:bCs/>
        </w:rPr>
        <w:t>*</w:t>
      </w:r>
      <w:r w:rsidR="00191BCF">
        <w:rPr>
          <w:b/>
          <w:bCs/>
        </w:rPr>
        <w:t>To note:</w:t>
      </w:r>
      <w:r w:rsidR="003037F2">
        <w:t xml:space="preserve"> legally, any property in a State Heritage Area is considered a State Heritage Place</w:t>
      </w:r>
      <w:r w:rsidR="00191BCF" w:rsidRPr="00EB3815">
        <w:t>.</w:t>
      </w:r>
      <w:r w:rsidR="00191BCF" w:rsidRPr="00423E24">
        <w:rPr>
          <w:b/>
          <w:bCs/>
          <w:u w:val="single"/>
        </w:rPr>
        <w:t xml:space="preserve"> </w:t>
      </w:r>
    </w:p>
    <w:p w14:paraId="6496EDDE" w14:textId="3ECCC734" w:rsidR="00191BCF" w:rsidRDefault="00191BCF" w:rsidP="00191BCF">
      <w:pPr>
        <w:jc w:val="both"/>
        <w:rPr>
          <w:i/>
          <w:iCs/>
        </w:rPr>
      </w:pPr>
      <w:r>
        <w:t xml:space="preserve">Below is a diagram that illustrates the relationship between the </w:t>
      </w:r>
      <w:r>
        <w:rPr>
          <w:i/>
          <w:iCs/>
        </w:rPr>
        <w:t xml:space="preserve">Planning, Development and Infrastructure Act 2016 </w:t>
      </w:r>
      <w:r>
        <w:t xml:space="preserve">and the </w:t>
      </w:r>
      <w:r>
        <w:rPr>
          <w:i/>
          <w:iCs/>
        </w:rPr>
        <w:t>Heritage Places Act 1993</w:t>
      </w:r>
      <w:r w:rsidR="003037F2">
        <w:rPr>
          <w:i/>
          <w:iCs/>
        </w:rPr>
        <w:t xml:space="preserve">.  </w:t>
      </w:r>
    </w:p>
    <w:p w14:paraId="12BFDC30" w14:textId="5924C8DC" w:rsidR="00191BCF" w:rsidRPr="00191BCF" w:rsidRDefault="00191BCF" w:rsidP="00423E24">
      <w:pPr>
        <w:jc w:val="center"/>
      </w:pPr>
      <w:r w:rsidRPr="00191BCF">
        <w:rPr>
          <w:noProof/>
          <w:lang w:eastAsia="en-AU"/>
        </w:rPr>
        <w:drawing>
          <wp:inline distT="0" distB="0" distL="0" distR="0" wp14:anchorId="47BFA30E" wp14:editId="50BE1428">
            <wp:extent cx="3609975" cy="40996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15270" cy="4105669"/>
                    </a:xfrm>
                    <a:prstGeom prst="rect">
                      <a:avLst/>
                    </a:prstGeom>
                  </pic:spPr>
                </pic:pic>
              </a:graphicData>
            </a:graphic>
          </wp:inline>
        </w:drawing>
      </w:r>
    </w:p>
    <w:sectPr w:rsidR="00191BCF" w:rsidRPr="00191BCF">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7BC68" w14:textId="77777777" w:rsidR="006C4223" w:rsidRDefault="006C4223" w:rsidP="006C4223">
      <w:pPr>
        <w:spacing w:after="0" w:line="240" w:lineRule="auto"/>
      </w:pPr>
      <w:r>
        <w:separator/>
      </w:r>
    </w:p>
  </w:endnote>
  <w:endnote w:type="continuationSeparator" w:id="0">
    <w:p w14:paraId="685D275D" w14:textId="77777777" w:rsidR="006C4223" w:rsidRDefault="006C4223" w:rsidP="006C4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947772"/>
      <w:docPartObj>
        <w:docPartGallery w:val="Page Numbers (Bottom of Page)"/>
        <w:docPartUnique/>
      </w:docPartObj>
    </w:sdtPr>
    <w:sdtEndPr>
      <w:rPr>
        <w:noProof/>
      </w:rPr>
    </w:sdtEndPr>
    <w:sdtContent>
      <w:p w14:paraId="1EDAA3A1" w14:textId="2D29AAD0" w:rsidR="006C4223" w:rsidRDefault="006C4223">
        <w:pPr>
          <w:pStyle w:val="Footer"/>
          <w:jc w:val="right"/>
        </w:pPr>
        <w:r>
          <w:fldChar w:fldCharType="begin"/>
        </w:r>
        <w:r>
          <w:instrText xml:space="preserve"> PAGE   \* MERGEFORMAT </w:instrText>
        </w:r>
        <w:r>
          <w:fldChar w:fldCharType="separate"/>
        </w:r>
        <w:r w:rsidR="006547CD">
          <w:rPr>
            <w:noProof/>
          </w:rPr>
          <w:t>2</w:t>
        </w:r>
        <w:r>
          <w:rPr>
            <w:noProof/>
          </w:rPr>
          <w:fldChar w:fldCharType="end"/>
        </w:r>
      </w:p>
    </w:sdtContent>
  </w:sdt>
  <w:p w14:paraId="4131AD4E" w14:textId="77777777" w:rsidR="006C4223" w:rsidRDefault="006C4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CD887" w14:textId="77777777" w:rsidR="006C4223" w:rsidRDefault="006C4223" w:rsidP="006C4223">
      <w:pPr>
        <w:spacing w:after="0" w:line="240" w:lineRule="auto"/>
      </w:pPr>
      <w:r>
        <w:separator/>
      </w:r>
    </w:p>
  </w:footnote>
  <w:footnote w:type="continuationSeparator" w:id="0">
    <w:p w14:paraId="25D33AFC" w14:textId="77777777" w:rsidR="006C4223" w:rsidRDefault="006C4223" w:rsidP="006C4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F382A"/>
    <w:multiLevelType w:val="hybridMultilevel"/>
    <w:tmpl w:val="BB9E271C"/>
    <w:lvl w:ilvl="0" w:tplc="9C2026CC">
      <w:start w:val="1"/>
      <w:numFmt w:val="bullet"/>
      <w:lvlText w:val=""/>
      <w:lvlJc w:val="left"/>
      <w:pPr>
        <w:ind w:left="720" w:hanging="360"/>
      </w:pPr>
      <w:rPr>
        <w:rFonts w:ascii="Symbol" w:hAnsi="Symbol" w:hint="default"/>
      </w:rPr>
    </w:lvl>
    <w:lvl w:ilvl="1" w:tplc="B43AB980">
      <w:start w:val="1"/>
      <w:numFmt w:val="bullet"/>
      <w:lvlText w:val="o"/>
      <w:lvlJc w:val="left"/>
      <w:pPr>
        <w:ind w:left="1440" w:hanging="360"/>
      </w:pPr>
      <w:rPr>
        <w:rFonts w:ascii="Courier New" w:hAnsi="Courier New" w:cs="Courier New" w:hint="default"/>
      </w:rPr>
    </w:lvl>
    <w:lvl w:ilvl="2" w:tplc="D1C02996">
      <w:start w:val="1"/>
      <w:numFmt w:val="bullet"/>
      <w:lvlText w:val=""/>
      <w:lvlJc w:val="left"/>
      <w:pPr>
        <w:ind w:left="2160" w:hanging="360"/>
      </w:pPr>
      <w:rPr>
        <w:rFonts w:ascii="Wingdings" w:hAnsi="Wingdings" w:hint="default"/>
      </w:rPr>
    </w:lvl>
    <w:lvl w:ilvl="3" w:tplc="E664092A" w:tentative="1">
      <w:start w:val="1"/>
      <w:numFmt w:val="bullet"/>
      <w:lvlText w:val=""/>
      <w:lvlJc w:val="left"/>
      <w:pPr>
        <w:ind w:left="2880" w:hanging="360"/>
      </w:pPr>
      <w:rPr>
        <w:rFonts w:ascii="Symbol" w:hAnsi="Symbol" w:hint="default"/>
      </w:rPr>
    </w:lvl>
    <w:lvl w:ilvl="4" w:tplc="CEA6323C" w:tentative="1">
      <w:start w:val="1"/>
      <w:numFmt w:val="bullet"/>
      <w:lvlText w:val="o"/>
      <w:lvlJc w:val="left"/>
      <w:pPr>
        <w:ind w:left="3600" w:hanging="360"/>
      </w:pPr>
      <w:rPr>
        <w:rFonts w:ascii="Courier New" w:hAnsi="Courier New" w:cs="Courier New" w:hint="default"/>
      </w:rPr>
    </w:lvl>
    <w:lvl w:ilvl="5" w:tplc="98463698" w:tentative="1">
      <w:start w:val="1"/>
      <w:numFmt w:val="bullet"/>
      <w:lvlText w:val=""/>
      <w:lvlJc w:val="left"/>
      <w:pPr>
        <w:ind w:left="4320" w:hanging="360"/>
      </w:pPr>
      <w:rPr>
        <w:rFonts w:ascii="Wingdings" w:hAnsi="Wingdings" w:hint="default"/>
      </w:rPr>
    </w:lvl>
    <w:lvl w:ilvl="6" w:tplc="EAE2A2F8" w:tentative="1">
      <w:start w:val="1"/>
      <w:numFmt w:val="bullet"/>
      <w:lvlText w:val=""/>
      <w:lvlJc w:val="left"/>
      <w:pPr>
        <w:ind w:left="5040" w:hanging="360"/>
      </w:pPr>
      <w:rPr>
        <w:rFonts w:ascii="Symbol" w:hAnsi="Symbol" w:hint="default"/>
      </w:rPr>
    </w:lvl>
    <w:lvl w:ilvl="7" w:tplc="A65A6632" w:tentative="1">
      <w:start w:val="1"/>
      <w:numFmt w:val="bullet"/>
      <w:lvlText w:val="o"/>
      <w:lvlJc w:val="left"/>
      <w:pPr>
        <w:ind w:left="5760" w:hanging="360"/>
      </w:pPr>
      <w:rPr>
        <w:rFonts w:ascii="Courier New" w:hAnsi="Courier New" w:cs="Courier New" w:hint="default"/>
      </w:rPr>
    </w:lvl>
    <w:lvl w:ilvl="8" w:tplc="F454DD6C" w:tentative="1">
      <w:start w:val="1"/>
      <w:numFmt w:val="bullet"/>
      <w:lvlText w:val=""/>
      <w:lvlJc w:val="left"/>
      <w:pPr>
        <w:ind w:left="6480" w:hanging="360"/>
      </w:pPr>
      <w:rPr>
        <w:rFonts w:ascii="Wingdings" w:hAnsi="Wingdings" w:hint="default"/>
      </w:rPr>
    </w:lvl>
  </w:abstractNum>
  <w:abstractNum w:abstractNumId="1" w15:restartNumberingAfterBreak="0">
    <w:nsid w:val="48041399"/>
    <w:multiLevelType w:val="hybridMultilevel"/>
    <w:tmpl w:val="648491CE"/>
    <w:lvl w:ilvl="0" w:tplc="80E07A32">
      <w:start w:val="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62D39AF"/>
    <w:multiLevelType w:val="hybridMultilevel"/>
    <w:tmpl w:val="30BA9680"/>
    <w:lvl w:ilvl="0" w:tplc="1A56958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B8126B7"/>
    <w:multiLevelType w:val="hybridMultilevel"/>
    <w:tmpl w:val="472024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621"/>
    <w:rsid w:val="00004C0F"/>
    <w:rsid w:val="000736C3"/>
    <w:rsid w:val="00073A81"/>
    <w:rsid w:val="000A2BC1"/>
    <w:rsid w:val="000A5A14"/>
    <w:rsid w:val="000D4016"/>
    <w:rsid w:val="00151AC2"/>
    <w:rsid w:val="001562E6"/>
    <w:rsid w:val="00162621"/>
    <w:rsid w:val="00191BCF"/>
    <w:rsid w:val="0019248E"/>
    <w:rsid w:val="0024585A"/>
    <w:rsid w:val="00261EC4"/>
    <w:rsid w:val="002D7A26"/>
    <w:rsid w:val="003037F2"/>
    <w:rsid w:val="00306306"/>
    <w:rsid w:val="0034268E"/>
    <w:rsid w:val="0034432D"/>
    <w:rsid w:val="003712D0"/>
    <w:rsid w:val="00384CF5"/>
    <w:rsid w:val="00386739"/>
    <w:rsid w:val="00406262"/>
    <w:rsid w:val="00423E24"/>
    <w:rsid w:val="00482DE6"/>
    <w:rsid w:val="004A2A4E"/>
    <w:rsid w:val="00537709"/>
    <w:rsid w:val="0054031F"/>
    <w:rsid w:val="00556619"/>
    <w:rsid w:val="005B546D"/>
    <w:rsid w:val="00602083"/>
    <w:rsid w:val="00625965"/>
    <w:rsid w:val="006547CD"/>
    <w:rsid w:val="006969D3"/>
    <w:rsid w:val="006C13E0"/>
    <w:rsid w:val="006C4223"/>
    <w:rsid w:val="00732819"/>
    <w:rsid w:val="00735275"/>
    <w:rsid w:val="00742089"/>
    <w:rsid w:val="007810FF"/>
    <w:rsid w:val="007A7BAF"/>
    <w:rsid w:val="007F344A"/>
    <w:rsid w:val="00806D57"/>
    <w:rsid w:val="008A394E"/>
    <w:rsid w:val="008E293C"/>
    <w:rsid w:val="008F35AB"/>
    <w:rsid w:val="008F5BF4"/>
    <w:rsid w:val="00937108"/>
    <w:rsid w:val="009749F7"/>
    <w:rsid w:val="009D75C1"/>
    <w:rsid w:val="00A32270"/>
    <w:rsid w:val="00A556EA"/>
    <w:rsid w:val="00A57D45"/>
    <w:rsid w:val="00A626D0"/>
    <w:rsid w:val="00AA3DA1"/>
    <w:rsid w:val="00B640F3"/>
    <w:rsid w:val="00B8032D"/>
    <w:rsid w:val="00C00E1A"/>
    <w:rsid w:val="00C03C39"/>
    <w:rsid w:val="00C11559"/>
    <w:rsid w:val="00C15486"/>
    <w:rsid w:val="00CA6F18"/>
    <w:rsid w:val="00CB1082"/>
    <w:rsid w:val="00CB3162"/>
    <w:rsid w:val="00D3584A"/>
    <w:rsid w:val="00D511D0"/>
    <w:rsid w:val="00D762FA"/>
    <w:rsid w:val="00DF3446"/>
    <w:rsid w:val="00E42A3B"/>
    <w:rsid w:val="00E621F2"/>
    <w:rsid w:val="00E740C1"/>
    <w:rsid w:val="00EB25DB"/>
    <w:rsid w:val="00EB3815"/>
    <w:rsid w:val="00F80788"/>
    <w:rsid w:val="00FA79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F4491"/>
  <w15:chartTrackingRefBased/>
  <w15:docId w15:val="{29508841-D05C-4288-8449-9BBBE277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36C3"/>
    <w:pPr>
      <w:ind w:left="720"/>
      <w:contextualSpacing/>
    </w:pPr>
  </w:style>
  <w:style w:type="paragraph" w:customStyle="1" w:styleId="Normalitalics">
    <w:name w:val="Normal italics"/>
    <w:basedOn w:val="Normal"/>
    <w:qFormat/>
    <w:rsid w:val="00073A81"/>
    <w:pPr>
      <w:spacing w:line="250" w:lineRule="exact"/>
    </w:pPr>
    <w:rPr>
      <w:i/>
      <w:sz w:val="18"/>
    </w:rPr>
  </w:style>
  <w:style w:type="character" w:styleId="CommentReference">
    <w:name w:val="annotation reference"/>
    <w:basedOn w:val="DefaultParagraphFont"/>
    <w:uiPriority w:val="99"/>
    <w:semiHidden/>
    <w:unhideWhenUsed/>
    <w:rsid w:val="006C4223"/>
    <w:rPr>
      <w:sz w:val="16"/>
      <w:szCs w:val="16"/>
    </w:rPr>
  </w:style>
  <w:style w:type="paragraph" w:styleId="CommentText">
    <w:name w:val="annotation text"/>
    <w:basedOn w:val="Normal"/>
    <w:link w:val="CommentTextChar"/>
    <w:uiPriority w:val="99"/>
    <w:semiHidden/>
    <w:unhideWhenUsed/>
    <w:rsid w:val="006C4223"/>
    <w:pPr>
      <w:spacing w:line="240" w:lineRule="auto"/>
    </w:pPr>
    <w:rPr>
      <w:sz w:val="20"/>
      <w:szCs w:val="20"/>
    </w:rPr>
  </w:style>
  <w:style w:type="character" w:customStyle="1" w:styleId="CommentTextChar">
    <w:name w:val="Comment Text Char"/>
    <w:basedOn w:val="DefaultParagraphFont"/>
    <w:link w:val="CommentText"/>
    <w:uiPriority w:val="99"/>
    <w:semiHidden/>
    <w:rsid w:val="006C4223"/>
    <w:rPr>
      <w:sz w:val="20"/>
      <w:szCs w:val="20"/>
    </w:rPr>
  </w:style>
  <w:style w:type="paragraph" w:styleId="CommentSubject">
    <w:name w:val="annotation subject"/>
    <w:basedOn w:val="CommentText"/>
    <w:next w:val="CommentText"/>
    <w:link w:val="CommentSubjectChar"/>
    <w:uiPriority w:val="99"/>
    <w:semiHidden/>
    <w:unhideWhenUsed/>
    <w:rsid w:val="006C4223"/>
    <w:rPr>
      <w:b/>
      <w:bCs/>
    </w:rPr>
  </w:style>
  <w:style w:type="character" w:customStyle="1" w:styleId="CommentSubjectChar">
    <w:name w:val="Comment Subject Char"/>
    <w:basedOn w:val="CommentTextChar"/>
    <w:link w:val="CommentSubject"/>
    <w:uiPriority w:val="99"/>
    <w:semiHidden/>
    <w:rsid w:val="006C4223"/>
    <w:rPr>
      <w:b/>
      <w:bCs/>
      <w:sz w:val="20"/>
      <w:szCs w:val="20"/>
    </w:rPr>
  </w:style>
  <w:style w:type="paragraph" w:styleId="Header">
    <w:name w:val="header"/>
    <w:basedOn w:val="Normal"/>
    <w:link w:val="HeaderChar"/>
    <w:uiPriority w:val="99"/>
    <w:unhideWhenUsed/>
    <w:rsid w:val="006C4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4223"/>
  </w:style>
  <w:style w:type="paragraph" w:styleId="Footer">
    <w:name w:val="footer"/>
    <w:basedOn w:val="Normal"/>
    <w:link w:val="FooterChar"/>
    <w:uiPriority w:val="99"/>
    <w:unhideWhenUsed/>
    <w:rsid w:val="006C4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4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96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16F9A-A9C4-4FF3-8D08-1F473EEAA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Justine (DEW)</dc:creator>
  <cp:keywords/>
  <dc:description/>
  <cp:lastModifiedBy>Williams, Jodi (DEW)</cp:lastModifiedBy>
  <cp:revision>7</cp:revision>
  <cp:lastPrinted>2023-06-28T02:54:00Z</cp:lastPrinted>
  <dcterms:created xsi:type="dcterms:W3CDTF">2023-03-23T02:00:00Z</dcterms:created>
  <dcterms:modified xsi:type="dcterms:W3CDTF">2023-06-28T02:57:00Z</dcterms:modified>
</cp:coreProperties>
</file>