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3C4D2" w14:textId="77777777" w:rsidR="003B2A78" w:rsidRDefault="003B2A78" w:rsidP="003B2A78">
      <w:pPr>
        <w:spacing w:after="0"/>
        <w:jc w:val="both"/>
        <w:rPr>
          <w:b/>
          <w:bCs/>
        </w:rPr>
      </w:pPr>
    </w:p>
    <w:p w14:paraId="5E93A254" w14:textId="49951206" w:rsidR="00820A39" w:rsidRDefault="003B2A78" w:rsidP="003B2A78">
      <w:pPr>
        <w:spacing w:after="0"/>
        <w:jc w:val="both"/>
      </w:pPr>
      <w:r w:rsidRPr="003B2A78">
        <w:rPr>
          <w:rFonts w:eastAsiaTheme="majorEastAsia" w:cstheme="minorHAnsi"/>
          <w:b/>
          <w:color w:val="295948" w:themeColor="accent2"/>
          <w:sz w:val="22"/>
          <w:szCs w:val="24"/>
        </w:rPr>
        <w:t>Mount Torrens State</w:t>
      </w:r>
      <w:r>
        <w:t xml:space="preserve"> </w:t>
      </w:r>
      <w:r w:rsidRPr="003B2A78">
        <w:rPr>
          <w:rFonts w:eastAsiaTheme="majorEastAsia" w:cstheme="minorHAnsi"/>
          <w:b/>
          <w:color w:val="295948" w:themeColor="accent2"/>
          <w:sz w:val="22"/>
          <w:szCs w:val="24"/>
        </w:rPr>
        <w:t xml:space="preserve">Heritage Area </w:t>
      </w:r>
      <w:r w:rsidRPr="003B2A78">
        <w:t>is a</w:t>
      </w:r>
      <w:r>
        <w:t xml:space="preserve"> surviving example of a 19th century settlement in the Adelaide Hills and was declared a State Heritage Area on 5 December 2002. Mount Torrens State Heritage Area is associated with South Australia's transport history, particularly the </w:t>
      </w:r>
      <w:proofErr w:type="gramStart"/>
      <w:r>
        <w:t>River</w:t>
      </w:r>
      <w:proofErr w:type="gramEnd"/>
      <w:r>
        <w:t xml:space="preserve"> Murray steamer trade, and with the life and work of George Dunn, who founded Mount Torrens in the 1850s. </w:t>
      </w:r>
    </w:p>
    <w:p w14:paraId="773391D8" w14:textId="77777777" w:rsidR="003B2A78" w:rsidRPr="003B2A78" w:rsidRDefault="003B2A78" w:rsidP="003B2A78">
      <w:pPr>
        <w:pStyle w:val="Heading2"/>
        <w:rPr>
          <w:color w:val="295948" w:themeColor="accent2"/>
          <w:sz w:val="24"/>
          <w:szCs w:val="24"/>
        </w:rPr>
      </w:pPr>
      <w:r w:rsidRPr="003B2A78">
        <w:rPr>
          <w:color w:val="295948" w:themeColor="accent2"/>
          <w:sz w:val="24"/>
          <w:szCs w:val="24"/>
        </w:rPr>
        <w:t>State Heritage Areas are protected under the Planning and Design Code by:</w:t>
      </w:r>
    </w:p>
    <w:p w14:paraId="106EFAE4" w14:textId="77777777" w:rsidR="00D223E9" w:rsidRDefault="003B2A78" w:rsidP="003B2A78">
      <w:pPr>
        <w:pStyle w:val="Heading3"/>
        <w:numPr>
          <w:ilvl w:val="0"/>
          <w:numId w:val="3"/>
        </w:numPr>
        <w:rPr>
          <w:color w:val="295948" w:themeColor="accent2"/>
        </w:rPr>
      </w:pPr>
      <w:r>
        <w:rPr>
          <w:color w:val="295948" w:themeColor="accent2"/>
        </w:rPr>
        <w:t xml:space="preserve">State Heritage Area Overlay </w:t>
      </w:r>
    </w:p>
    <w:p w14:paraId="0C9BB434" w14:textId="77777777" w:rsidR="003B2A78" w:rsidRDefault="003B2A78" w:rsidP="00583FBD">
      <w:pPr>
        <w:jc w:val="both"/>
      </w:pPr>
      <w:r>
        <w:t xml:space="preserve">All State Heritage Areas are protected in the Planning and Desing Code under a State Heritage Area Overlay. An overlay identified an area where specific planning policies apply or are subject to referral to allow for a specialised assessment. The Planning and Design Code uses overlays to address characteristics of a location that are nor fully covered by the standard zoning laws. </w:t>
      </w:r>
    </w:p>
    <w:p w14:paraId="4C5CEB48" w14:textId="77777777" w:rsidR="003B2A78" w:rsidRPr="003B2A78" w:rsidRDefault="003B2A78" w:rsidP="00583FBD">
      <w:pPr>
        <w:jc w:val="both"/>
      </w:pPr>
      <w:r>
        <w:t xml:space="preserve">A State Heritage Area Overlay makes sure that any changes to development within a State Heritage Area are managed in a wat that protects the heritage values of the area. This means that the impact of alterations and additions to existing buildings or proposed new buildings are assessed against the heritage values of the State Heritage Area. The State Heritage Area Overlay takes precedence over any underling zone/s or general policies in the Planning and Design Code. </w:t>
      </w:r>
    </w:p>
    <w:p w14:paraId="23BB126F" w14:textId="77777777" w:rsidR="00D223E9" w:rsidRPr="000143C9" w:rsidRDefault="00583FBD" w:rsidP="00583FBD">
      <w:pPr>
        <w:pStyle w:val="Heading3"/>
        <w:numPr>
          <w:ilvl w:val="0"/>
          <w:numId w:val="3"/>
        </w:numPr>
        <w:rPr>
          <w:color w:val="295948" w:themeColor="accent2"/>
        </w:rPr>
      </w:pPr>
      <w:r>
        <w:rPr>
          <w:color w:val="295948" w:themeColor="accent2"/>
        </w:rPr>
        <w:t xml:space="preserve">Ministerial Power of Direction </w:t>
      </w:r>
    </w:p>
    <w:p w14:paraId="5ABEE7AB" w14:textId="34C39860" w:rsidR="00583FBD" w:rsidRDefault="00583FBD" w:rsidP="009571FE">
      <w:pPr>
        <w:pStyle w:val="Heading4"/>
        <w:rPr>
          <w:rFonts w:eastAsiaTheme="minorHAnsi" w:cstheme="minorBidi"/>
          <w:b w:val="0"/>
          <w:iCs w:val="0"/>
          <w:color w:val="auto"/>
        </w:rPr>
      </w:pPr>
      <w:r w:rsidRPr="00583FBD">
        <w:rPr>
          <w:rFonts w:eastAsiaTheme="minorHAnsi" w:cstheme="minorBidi"/>
          <w:b w:val="0"/>
          <w:iCs w:val="0"/>
          <w:color w:val="auto"/>
        </w:rPr>
        <w:t xml:space="preserve">Development within a State Heritage Area that could impact on the heritage values may be referred to the Minister responsible for the </w:t>
      </w:r>
      <w:hyperlink r:id="rId11" w:history="1">
        <w:r w:rsidR="0022714A" w:rsidRPr="0022714A">
          <w:rPr>
            <w:rStyle w:val="Hyperlink"/>
            <w:b w:val="0"/>
            <w:bCs/>
            <w:i/>
          </w:rPr>
          <w:t>Heritage Places Act 1993</w:t>
        </w:r>
      </w:hyperlink>
      <w:r w:rsidRPr="0022714A">
        <w:rPr>
          <w:rFonts w:eastAsiaTheme="minorHAnsi" w:cstheme="minorBidi"/>
          <w:b w:val="0"/>
          <w:bCs/>
          <w:iCs w:val="0"/>
          <w:color w:val="auto"/>
        </w:rPr>
        <w:t>.</w:t>
      </w:r>
      <w:r w:rsidRPr="00583FBD">
        <w:rPr>
          <w:rFonts w:eastAsiaTheme="minorHAnsi" w:cstheme="minorBidi"/>
          <w:b w:val="0"/>
          <w:iCs w:val="0"/>
          <w:color w:val="auto"/>
        </w:rPr>
        <w:t xml:space="preserve"> The Minister has authority to direct decisions on development applications that directly affect a State Heritage Place or Area. This means that the Minister (or their delegate) can confirm support, or direct conditions of approval, or direct the relevant authority to refuse development applications if they are considered to have an inappropriate impact on the State Heritage Area.</w:t>
      </w:r>
    </w:p>
    <w:p w14:paraId="68CA5F90" w14:textId="77777777" w:rsidR="00583FBD" w:rsidRDefault="00583FBD" w:rsidP="00583FBD">
      <w:pPr>
        <w:pStyle w:val="Heading3"/>
        <w:numPr>
          <w:ilvl w:val="0"/>
          <w:numId w:val="3"/>
        </w:numPr>
        <w:rPr>
          <w:color w:val="295948" w:themeColor="accent2"/>
        </w:rPr>
      </w:pPr>
      <w:r w:rsidRPr="00583FBD">
        <w:rPr>
          <w:color w:val="295948" w:themeColor="accent2"/>
        </w:rPr>
        <w:t xml:space="preserve">Heritage Standard </w:t>
      </w:r>
    </w:p>
    <w:p w14:paraId="36C10C5A" w14:textId="7692CD1B" w:rsidR="00583FBD" w:rsidRDefault="00583FBD" w:rsidP="00DA7A26">
      <w:pPr>
        <w:jc w:val="both"/>
      </w:pPr>
      <w:r>
        <w:t>Applications for development approval in a State Heritage Area that impact the heritage values may be referred by the relevant authority (usually the local council) to the Minister resp</w:t>
      </w:r>
      <w:r w:rsidR="00F31FF4">
        <w:t xml:space="preserve">onsible for the </w:t>
      </w:r>
      <w:hyperlink r:id="rId12" w:history="1">
        <w:r w:rsidR="0022714A" w:rsidRPr="0022714A">
          <w:rPr>
            <w:rStyle w:val="Hyperlink"/>
            <w:i/>
            <w:iCs/>
          </w:rPr>
          <w:t>Heritage Places Act 1993</w:t>
        </w:r>
      </w:hyperlink>
      <w:r w:rsidR="00F31FF4">
        <w:t xml:space="preserve">. The Minister delegates the provision of advice on these development applications to Heritage South Australia. This Heritage Standard is a key tool in Heritage South Australia’s assessment of the heritage impact of referred development proposals. </w:t>
      </w:r>
    </w:p>
    <w:p w14:paraId="2703A7E5" w14:textId="77777777" w:rsidR="00DA7A26" w:rsidRPr="00DA7A26" w:rsidRDefault="00DA7A26" w:rsidP="00DA7A26">
      <w:pPr>
        <w:pStyle w:val="Heading3"/>
        <w:numPr>
          <w:ilvl w:val="0"/>
          <w:numId w:val="3"/>
        </w:numPr>
        <w:rPr>
          <w:color w:val="295948" w:themeColor="accent2"/>
        </w:rPr>
      </w:pPr>
      <w:r w:rsidRPr="00DA7A26">
        <w:rPr>
          <w:color w:val="295948" w:themeColor="accent2"/>
        </w:rPr>
        <w:t xml:space="preserve">Zoning </w:t>
      </w:r>
    </w:p>
    <w:p w14:paraId="68B322F7" w14:textId="041C49C3" w:rsidR="00DA7A26" w:rsidRDefault="00DA7A26" w:rsidP="00DA7A26">
      <w:pPr>
        <w:jc w:val="both"/>
      </w:pPr>
      <w:r>
        <w:t xml:space="preserve">Mount Torrens State Heritage Area is located within a Township Zone of the Planning and Design Code. The Township Zone recognises that Mount Torrens is a country town and that development within the area contributes to and enhances existing streetscapes and settlement patterns. </w:t>
      </w:r>
    </w:p>
    <w:p w14:paraId="42CCC0BF" w14:textId="77777777" w:rsidR="0022714A" w:rsidRDefault="0022714A" w:rsidP="00DA7A26">
      <w:pPr>
        <w:jc w:val="both"/>
      </w:pPr>
    </w:p>
    <w:p w14:paraId="3B51437C" w14:textId="77777777" w:rsidR="00DA7A26" w:rsidRPr="00DA7A26" w:rsidRDefault="00DA7A26" w:rsidP="00DA7A26">
      <w:pPr>
        <w:jc w:val="both"/>
        <w:rPr>
          <w:rFonts w:eastAsiaTheme="majorEastAsia" w:cstheme="minorHAnsi"/>
          <w:b/>
          <w:color w:val="295948" w:themeColor="accent2"/>
          <w:sz w:val="22"/>
          <w:szCs w:val="24"/>
        </w:rPr>
      </w:pPr>
      <w:r w:rsidRPr="00DA7A26">
        <w:rPr>
          <w:rFonts w:eastAsiaTheme="majorEastAsia" w:cstheme="minorHAnsi"/>
          <w:b/>
          <w:color w:val="295948" w:themeColor="accent2"/>
          <w:sz w:val="22"/>
          <w:szCs w:val="24"/>
        </w:rPr>
        <w:t xml:space="preserve">What kind of development is allowed in a State Heritage Area? </w:t>
      </w:r>
    </w:p>
    <w:p w14:paraId="3796B926" w14:textId="7ED3BE7F" w:rsidR="00DA7A26" w:rsidRDefault="00DA7A26" w:rsidP="00DA7A26">
      <w:pPr>
        <w:jc w:val="both"/>
        <w:rPr>
          <w:i/>
          <w:iCs/>
        </w:rPr>
      </w:pPr>
      <w:r>
        <w:t>Development in a State Heritage Area must be approved by the relevant planning authority</w:t>
      </w:r>
      <w:r>
        <w:rPr>
          <w:i/>
          <w:iCs/>
        </w:rPr>
        <w:t xml:space="preserve"> </w:t>
      </w:r>
      <w:r>
        <w:t xml:space="preserve">in accordance with the </w:t>
      </w:r>
      <w:hyperlink r:id="rId13" w:history="1">
        <w:r w:rsidRPr="0022714A">
          <w:rPr>
            <w:rStyle w:val="Hyperlink"/>
            <w:i/>
            <w:iCs/>
          </w:rPr>
          <w:t>Planning, Development and Infrastructure Act 2016</w:t>
        </w:r>
        <w:r w:rsidRPr="0022714A">
          <w:rPr>
            <w:rStyle w:val="Hyperlink"/>
          </w:rPr>
          <w:t>.</w:t>
        </w:r>
      </w:hyperlink>
      <w:r>
        <w:t xml:space="preserve"> </w:t>
      </w:r>
      <w:r>
        <w:rPr>
          <w:i/>
          <w:iCs/>
        </w:rPr>
        <w:t xml:space="preserve"> </w:t>
      </w:r>
    </w:p>
    <w:p w14:paraId="2C49BD20" w14:textId="65848062" w:rsidR="00DA7A26" w:rsidRDefault="00DA7A26" w:rsidP="00DA7A26">
      <w:pPr>
        <w:jc w:val="both"/>
      </w:pPr>
      <w:r>
        <w:t xml:space="preserve">Development is defined by the </w:t>
      </w:r>
      <w:hyperlink r:id="rId14" w:history="1">
        <w:r w:rsidRPr="0022714A">
          <w:rPr>
            <w:rStyle w:val="Hyperlink"/>
            <w:i/>
            <w:iCs/>
          </w:rPr>
          <w:t>Planning, Development and Infrastructure Act 2016</w:t>
        </w:r>
      </w:hyperlink>
      <w:r>
        <w:t xml:space="preserve">, and the </w:t>
      </w:r>
      <w:hyperlink r:id="rId15" w:history="1">
        <w:r w:rsidRPr="0022714A">
          <w:rPr>
            <w:rStyle w:val="Hyperlink"/>
            <w:i/>
            <w:iCs/>
          </w:rPr>
          <w:t>Planning Development Infrastructure (general) Regulations 2017</w:t>
        </w:r>
      </w:hyperlink>
      <w:r w:rsidRPr="009F3792">
        <w:rPr>
          <w:i/>
          <w:iCs/>
        </w:rPr>
        <w:t xml:space="preserve"> </w:t>
      </w:r>
      <w:r>
        <w:t>and includes:</w:t>
      </w:r>
    </w:p>
    <w:p w14:paraId="23E931B2" w14:textId="77777777" w:rsidR="00DA7A26" w:rsidRDefault="00DA7A26" w:rsidP="00DA7A26">
      <w:pPr>
        <w:pStyle w:val="ListParagraph"/>
        <w:numPr>
          <w:ilvl w:val="0"/>
          <w:numId w:val="6"/>
        </w:numPr>
        <w:spacing w:line="259" w:lineRule="auto"/>
        <w:jc w:val="both"/>
      </w:pPr>
      <w:r>
        <w:t>Building work</w:t>
      </w:r>
    </w:p>
    <w:p w14:paraId="44242E90" w14:textId="77777777" w:rsidR="00DA7A26" w:rsidRDefault="00DA7A26" w:rsidP="00DA7A26">
      <w:pPr>
        <w:pStyle w:val="ListParagraph"/>
        <w:numPr>
          <w:ilvl w:val="0"/>
          <w:numId w:val="6"/>
        </w:numPr>
        <w:spacing w:line="259" w:lineRule="auto"/>
        <w:jc w:val="both"/>
      </w:pPr>
      <w:r>
        <w:t>The demolition, removal, conversion, alteration or painting of, or addition to a State Heritage Place</w:t>
      </w:r>
      <w:r w:rsidRPr="00BC1F49">
        <w:rPr>
          <w:b/>
          <w:bCs/>
        </w:rPr>
        <w:t>*</w:t>
      </w:r>
    </w:p>
    <w:p w14:paraId="3B1B2D4B" w14:textId="77777777" w:rsidR="00DA7A26" w:rsidRDefault="00DA7A26" w:rsidP="00DA7A26">
      <w:pPr>
        <w:pStyle w:val="ListParagraph"/>
        <w:numPr>
          <w:ilvl w:val="0"/>
          <w:numId w:val="6"/>
        </w:numPr>
        <w:spacing w:line="259" w:lineRule="auto"/>
        <w:jc w:val="both"/>
      </w:pPr>
      <w:r>
        <w:t xml:space="preserve">Any work that could materially affect the heritage value of the place. </w:t>
      </w:r>
    </w:p>
    <w:p w14:paraId="1CA56E11" w14:textId="77777777" w:rsidR="00DA7A26" w:rsidRDefault="00DA7A26" w:rsidP="00DA7A26">
      <w:pPr>
        <w:jc w:val="both"/>
        <w:rPr>
          <w:b/>
          <w:bCs/>
          <w:u w:val="single"/>
        </w:rPr>
      </w:pPr>
      <w:r>
        <w:rPr>
          <w:b/>
          <w:bCs/>
        </w:rPr>
        <w:t>*</w:t>
      </w:r>
      <w:r>
        <w:t>Legally, a</w:t>
      </w:r>
      <w:r w:rsidRPr="00A80CAA">
        <w:t>ny property within a State Heritage Area is also considered a State Heritage Place</w:t>
      </w:r>
      <w:r>
        <w:t xml:space="preserve">. </w:t>
      </w:r>
      <w:r>
        <w:rPr>
          <w:b/>
          <w:bCs/>
          <w:u w:val="single"/>
        </w:rPr>
        <w:t xml:space="preserve"> </w:t>
      </w:r>
    </w:p>
    <w:p w14:paraId="117C3129" w14:textId="63732268" w:rsidR="00DA7A26" w:rsidRPr="00A80CAA" w:rsidRDefault="00DA7A26" w:rsidP="00DA7A26">
      <w:pPr>
        <w:jc w:val="both"/>
      </w:pPr>
      <w:r>
        <w:lastRenderedPageBreak/>
        <w:t xml:space="preserve">Below is a diagram that illustrates the relationship between the </w:t>
      </w:r>
      <w:hyperlink r:id="rId16" w:history="1">
        <w:r w:rsidR="0022714A" w:rsidRPr="0022714A">
          <w:rPr>
            <w:rStyle w:val="Hyperlink"/>
            <w:i/>
            <w:iCs/>
          </w:rPr>
          <w:t>Planning, Development and Infrastructure Act 2016</w:t>
        </w:r>
      </w:hyperlink>
      <w:r w:rsidR="0022714A">
        <w:rPr>
          <w:i/>
          <w:iCs/>
        </w:rPr>
        <w:t xml:space="preserve"> </w:t>
      </w:r>
      <w:r>
        <w:t xml:space="preserve">and the </w:t>
      </w:r>
      <w:hyperlink r:id="rId17" w:history="1">
        <w:r w:rsidRPr="0022714A">
          <w:rPr>
            <w:rStyle w:val="Hyperlink"/>
            <w:i/>
            <w:iCs/>
          </w:rPr>
          <w:t>Heritage Places Act 1993</w:t>
        </w:r>
      </w:hyperlink>
      <w:r>
        <w:t xml:space="preserve">: </w:t>
      </w:r>
    </w:p>
    <w:p w14:paraId="6476A119" w14:textId="77777777" w:rsidR="00DA7A26" w:rsidRDefault="00DA7A26" w:rsidP="00DA7A26">
      <w:pPr>
        <w:spacing w:line="259" w:lineRule="auto"/>
        <w:jc w:val="center"/>
      </w:pPr>
      <w:r w:rsidRPr="00191BCF">
        <w:rPr>
          <w:noProof/>
          <w:lang w:eastAsia="en-AU"/>
        </w:rPr>
        <w:drawing>
          <wp:inline distT="0" distB="0" distL="0" distR="0" wp14:anchorId="7E46F3B1" wp14:editId="02FFD2E7">
            <wp:extent cx="5410200" cy="6144078"/>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451973" cy="6191517"/>
                    </a:xfrm>
                    <a:prstGeom prst="rect">
                      <a:avLst/>
                    </a:prstGeom>
                  </pic:spPr>
                </pic:pic>
              </a:graphicData>
            </a:graphic>
          </wp:inline>
        </w:drawing>
      </w:r>
    </w:p>
    <w:p w14:paraId="360F268E" w14:textId="77777777" w:rsidR="00D223E9" w:rsidRPr="00D223E9" w:rsidRDefault="00D223E9" w:rsidP="00D223E9"/>
    <w:sectPr w:rsidR="00D223E9" w:rsidRPr="00D223E9" w:rsidSect="00F663C8">
      <w:footerReference w:type="default" r:id="rId19"/>
      <w:headerReference w:type="first" r:id="rId20"/>
      <w:footerReference w:type="first" r:id="rId21"/>
      <w:pgSz w:w="11906" w:h="16838"/>
      <w:pgMar w:top="1276" w:right="1077" w:bottom="1440" w:left="1077" w:header="425" w:footer="86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A9680" w14:textId="77777777" w:rsidR="001B7146" w:rsidRDefault="001B7146" w:rsidP="008E3523">
      <w:pPr>
        <w:spacing w:after="0" w:line="240" w:lineRule="auto"/>
      </w:pPr>
      <w:r>
        <w:separator/>
      </w:r>
    </w:p>
  </w:endnote>
  <w:endnote w:type="continuationSeparator" w:id="0">
    <w:p w14:paraId="7D3C40A0" w14:textId="77777777" w:rsidR="001B7146" w:rsidRDefault="001B7146" w:rsidP="008E3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Black">
    <w:panose1 w:val="020B0A02040204020203"/>
    <w:charset w:val="00"/>
    <w:family w:val="swiss"/>
    <w:pitch w:val="variable"/>
    <w:sig w:usb0="E00002FF" w:usb1="4000E4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EBC98" w14:textId="77777777" w:rsidR="006F7D9C" w:rsidRPr="006F7D9C" w:rsidRDefault="000143C9" w:rsidP="006F7D9C">
    <w:pPr>
      <w:pStyle w:val="Footer"/>
    </w:pPr>
    <w:r>
      <w:rPr>
        <w:noProof/>
        <w:lang w:eastAsia="en-AU"/>
      </w:rPr>
      <w:drawing>
        <wp:anchor distT="0" distB="0" distL="114300" distR="114300" simplePos="0" relativeHeight="251658240" behindDoc="1" locked="0" layoutInCell="1" allowOverlap="1" wp14:anchorId="27A9D7D1" wp14:editId="39C934EF">
          <wp:simplePos x="0" y="0"/>
          <wp:positionH relativeFrom="page">
            <wp:posOffset>-11430</wp:posOffset>
          </wp:positionH>
          <wp:positionV relativeFrom="page">
            <wp:posOffset>10082085</wp:posOffset>
          </wp:positionV>
          <wp:extent cx="7542000" cy="590400"/>
          <wp:effectExtent l="0" t="0" r="1905" b="635"/>
          <wp:wrapNone/>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5551 DEW VisIdent 2019 A4 Header Footer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2000" cy="5904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7C7D2" w14:textId="77777777" w:rsidR="0059694C" w:rsidRPr="0059694C" w:rsidRDefault="0059694C" w:rsidP="0059694C">
    <w:pPr>
      <w:pStyle w:val="Footer"/>
    </w:pPr>
    <w:r>
      <w:rPr>
        <w:noProof/>
        <w:lang w:eastAsia="en-AU"/>
      </w:rPr>
      <w:drawing>
        <wp:anchor distT="0" distB="0" distL="114300" distR="114300" simplePos="0" relativeHeight="251661312" behindDoc="1" locked="0" layoutInCell="1" allowOverlap="1" wp14:anchorId="29169E9E" wp14:editId="63CFDCD4">
          <wp:simplePos x="0" y="0"/>
          <wp:positionH relativeFrom="page">
            <wp:posOffset>8255</wp:posOffset>
          </wp:positionH>
          <wp:positionV relativeFrom="page">
            <wp:posOffset>10085928</wp:posOffset>
          </wp:positionV>
          <wp:extent cx="7542000" cy="590400"/>
          <wp:effectExtent l="0" t="0" r="1905" b="635"/>
          <wp:wrapNone/>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2000" cy="5904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A964D" w14:textId="77777777" w:rsidR="001B7146" w:rsidRDefault="001B7146" w:rsidP="008E3523">
      <w:pPr>
        <w:spacing w:after="0" w:line="240" w:lineRule="auto"/>
      </w:pPr>
      <w:r>
        <w:separator/>
      </w:r>
    </w:p>
  </w:footnote>
  <w:footnote w:type="continuationSeparator" w:id="0">
    <w:p w14:paraId="06C9169E" w14:textId="77777777" w:rsidR="001B7146" w:rsidRDefault="001B7146" w:rsidP="008E35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CC57C" w14:textId="77777777" w:rsidR="002F2DFF" w:rsidRDefault="003B2A78" w:rsidP="0059694C">
    <w:pPr>
      <w:pStyle w:val="Header"/>
      <w:tabs>
        <w:tab w:val="clear" w:pos="4513"/>
        <w:tab w:val="clear" w:pos="9026"/>
        <w:tab w:val="left" w:pos="3722"/>
      </w:tabs>
    </w:pPr>
    <w:r>
      <w:rPr>
        <w:noProof/>
        <w:lang w:eastAsia="en-AU"/>
      </w:rPr>
      <mc:AlternateContent>
        <mc:Choice Requires="wps">
          <w:drawing>
            <wp:anchor distT="45720" distB="45720" distL="114300" distR="114300" simplePos="0" relativeHeight="251663360" behindDoc="0" locked="0" layoutInCell="1" allowOverlap="1" wp14:anchorId="77007DA7" wp14:editId="68E15EC9">
              <wp:simplePos x="0" y="0"/>
              <wp:positionH relativeFrom="column">
                <wp:posOffset>-429895</wp:posOffset>
              </wp:positionH>
              <wp:positionV relativeFrom="paragraph">
                <wp:posOffset>60325</wp:posOffset>
              </wp:positionV>
              <wp:extent cx="5069205" cy="1198880"/>
              <wp:effectExtent l="0" t="0" r="0" b="127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9205" cy="1198880"/>
                      </a:xfrm>
                      <a:prstGeom prst="rect">
                        <a:avLst/>
                      </a:prstGeom>
                      <a:noFill/>
                      <a:ln w="9525">
                        <a:noFill/>
                        <a:miter lim="800000"/>
                        <a:headEnd/>
                        <a:tailEnd/>
                      </a:ln>
                    </wps:spPr>
                    <wps:txbx>
                      <w:txbxContent>
                        <w:p w14:paraId="38578B28" w14:textId="77777777" w:rsidR="003B2A78" w:rsidRDefault="003B2A78" w:rsidP="003B2A78">
                          <w:pPr>
                            <w:pStyle w:val="Whitetitle"/>
                          </w:pPr>
                          <w:r>
                            <w:t>Draft Heritage Standards</w:t>
                          </w:r>
                        </w:p>
                        <w:p w14:paraId="118244B7" w14:textId="77777777" w:rsidR="003B2A78" w:rsidRPr="003B2A78" w:rsidRDefault="003B2A78" w:rsidP="003B2A78">
                          <w:pPr>
                            <w:pStyle w:val="Whitetitle"/>
                          </w:pPr>
                          <w:r>
                            <w:t xml:space="preserve">Mount Torrens State Heritage Area </w:t>
                          </w:r>
                        </w:p>
                        <w:p w14:paraId="4D92E963" w14:textId="77777777" w:rsidR="00F663C8" w:rsidRDefault="00F663C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007DA7" id="_x0000_t202" coordsize="21600,21600" o:spt="202" path="m,l,21600r21600,l21600,xe">
              <v:stroke joinstyle="miter"/>
              <v:path gradientshapeok="t" o:connecttype="rect"/>
            </v:shapetype>
            <v:shape id="Text Box 2" o:spid="_x0000_s1026" type="#_x0000_t202" style="position:absolute;margin-left:-33.85pt;margin-top:4.75pt;width:399.15pt;height:94.4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" filled="f" stroked="f">
              <v:textbox>
                <w:txbxContent>
                  <w:p w14:paraId="38578B28" w14:textId="77777777" w:rsidR="003B2A78" w:rsidRDefault="003B2A78" w:rsidP="003B2A78">
                    <w:pPr>
                      <w:pStyle w:val="Whitetitle"/>
                    </w:pPr>
                    <w:r>
                      <w:t>Draft Heritage Standards</w:t>
                    </w:r>
                  </w:p>
                  <w:p w14:paraId="118244B7" w14:textId="77777777" w:rsidR="003B2A78" w:rsidRPr="003B2A78" w:rsidRDefault="003B2A78" w:rsidP="003B2A78">
                    <w:pPr>
                      <w:pStyle w:val="Whitetitle"/>
                    </w:pPr>
                    <w:r>
                      <w:t xml:space="preserve">Mount Torrens State Heritage Area </w:t>
                    </w:r>
                  </w:p>
                  <w:p w14:paraId="4D92E963" w14:textId="77777777" w:rsidR="00F663C8" w:rsidRDefault="00F663C8"/>
                </w:txbxContent>
              </v:textbox>
              <w10:wrap type="topAndBottom"/>
            </v:shape>
          </w:pict>
        </mc:Fallback>
      </mc:AlternateContent>
    </w:r>
    <w:r w:rsidR="00C11DD0">
      <w:rPr>
        <w:noProof/>
        <w:lang w:eastAsia="en-AU"/>
      </w:rPr>
      <w:drawing>
        <wp:anchor distT="0" distB="0" distL="114300" distR="114300" simplePos="0" relativeHeight="251659264" behindDoc="1" locked="0" layoutInCell="1" allowOverlap="1" wp14:anchorId="28FE2D3F" wp14:editId="3A1A96C4">
          <wp:simplePos x="0" y="0"/>
          <wp:positionH relativeFrom="column">
            <wp:posOffset>-672020</wp:posOffset>
          </wp:positionH>
          <wp:positionV relativeFrom="paragraph">
            <wp:posOffset>-258000</wp:posOffset>
          </wp:positionV>
          <wp:extent cx="7540831" cy="1769662"/>
          <wp:effectExtent l="0" t="0" r="3175" b="2540"/>
          <wp:wrapNone/>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0831" cy="1769662"/>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9B546D"/>
    <w:multiLevelType w:val="hybridMultilevel"/>
    <w:tmpl w:val="8062B480"/>
    <w:lvl w:ilvl="0" w:tplc="351E4ED4">
      <w:start w:val="1"/>
      <w:numFmt w:val="bullet"/>
      <w:pStyle w:val="Bullet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92D4AE6"/>
    <w:multiLevelType w:val="hybridMultilevel"/>
    <w:tmpl w:val="DE921D5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46D6573"/>
    <w:multiLevelType w:val="hybridMultilevel"/>
    <w:tmpl w:val="8A94DD0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4F8258B"/>
    <w:multiLevelType w:val="hybridMultilevel"/>
    <w:tmpl w:val="DE921D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CE24397"/>
    <w:multiLevelType w:val="hybridMultilevel"/>
    <w:tmpl w:val="5ABC6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562D39AF"/>
    <w:multiLevelType w:val="hybridMultilevel"/>
    <w:tmpl w:val="30BA9680"/>
    <w:lvl w:ilvl="0" w:tplc="1A569582">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6902259">
    <w:abstractNumId w:val="0"/>
  </w:num>
  <w:num w:numId="2" w16cid:durableId="402798075">
    <w:abstractNumId w:val="4"/>
  </w:num>
  <w:num w:numId="3" w16cid:durableId="2020084582">
    <w:abstractNumId w:val="1"/>
  </w:num>
  <w:num w:numId="4" w16cid:durableId="198514869">
    <w:abstractNumId w:val="3"/>
  </w:num>
  <w:num w:numId="5" w16cid:durableId="424884585">
    <w:abstractNumId w:val="5"/>
  </w:num>
  <w:num w:numId="6" w16cid:durableId="8700675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146"/>
    <w:rsid w:val="000143C9"/>
    <w:rsid w:val="001B7146"/>
    <w:rsid w:val="001F557D"/>
    <w:rsid w:val="0022714A"/>
    <w:rsid w:val="002F2DFF"/>
    <w:rsid w:val="003212BF"/>
    <w:rsid w:val="003B2A78"/>
    <w:rsid w:val="003D3BD5"/>
    <w:rsid w:val="004402A6"/>
    <w:rsid w:val="00583FBD"/>
    <w:rsid w:val="0059694C"/>
    <w:rsid w:val="006B5A2C"/>
    <w:rsid w:val="006F7D9C"/>
    <w:rsid w:val="0075113D"/>
    <w:rsid w:val="007D7404"/>
    <w:rsid w:val="00820A39"/>
    <w:rsid w:val="008429C5"/>
    <w:rsid w:val="008E3523"/>
    <w:rsid w:val="009571FE"/>
    <w:rsid w:val="00960F8D"/>
    <w:rsid w:val="009D3D42"/>
    <w:rsid w:val="00C11DD0"/>
    <w:rsid w:val="00D223E9"/>
    <w:rsid w:val="00DA7A26"/>
    <w:rsid w:val="00E601F9"/>
    <w:rsid w:val="00F31FF4"/>
    <w:rsid w:val="00F663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4B8840"/>
  <w15:chartTrackingRefBased/>
  <w15:docId w15:val="{C3E8A5E3-EB22-47C3-AC30-AB87503DF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DD0"/>
    <w:pPr>
      <w:spacing w:line="250" w:lineRule="exact"/>
    </w:pPr>
    <w:rPr>
      <w:sz w:val="18"/>
    </w:rPr>
  </w:style>
  <w:style w:type="paragraph" w:styleId="Heading1">
    <w:name w:val="heading 1"/>
    <w:basedOn w:val="Normal"/>
    <w:next w:val="Normal"/>
    <w:link w:val="Heading1Char"/>
    <w:uiPriority w:val="9"/>
    <w:qFormat/>
    <w:rsid w:val="0059694C"/>
    <w:pPr>
      <w:keepNext/>
      <w:keepLines/>
      <w:spacing w:after="360" w:line="600" w:lineRule="exact"/>
      <w:outlineLvl w:val="0"/>
    </w:pPr>
    <w:rPr>
      <w:rFonts w:eastAsiaTheme="majorEastAsia" w:cstheme="minorHAnsi"/>
      <w:b/>
      <w:color w:val="0D3426" w:themeColor="accent1" w:themeShade="BF"/>
      <w:sz w:val="48"/>
      <w:szCs w:val="32"/>
    </w:rPr>
  </w:style>
  <w:style w:type="paragraph" w:styleId="Heading2">
    <w:name w:val="heading 2"/>
    <w:basedOn w:val="Normal"/>
    <w:next w:val="Normal"/>
    <w:link w:val="Heading2Char"/>
    <w:uiPriority w:val="9"/>
    <w:unhideWhenUsed/>
    <w:qFormat/>
    <w:rsid w:val="00D223E9"/>
    <w:pPr>
      <w:keepNext/>
      <w:keepLines/>
      <w:spacing w:before="240" w:after="120" w:line="400" w:lineRule="exact"/>
      <w:outlineLvl w:val="1"/>
    </w:pPr>
    <w:rPr>
      <w:rFonts w:eastAsiaTheme="majorEastAsia" w:cstheme="minorHAnsi"/>
      <w:b/>
      <w:color w:val="0D3426" w:themeColor="accent1" w:themeShade="BF"/>
      <w:sz w:val="30"/>
      <w:szCs w:val="30"/>
    </w:rPr>
  </w:style>
  <w:style w:type="paragraph" w:styleId="Heading3">
    <w:name w:val="heading 3"/>
    <w:basedOn w:val="Normal"/>
    <w:next w:val="Normal"/>
    <w:link w:val="Heading3Char"/>
    <w:uiPriority w:val="9"/>
    <w:unhideWhenUsed/>
    <w:qFormat/>
    <w:rsid w:val="00D223E9"/>
    <w:pPr>
      <w:keepNext/>
      <w:keepLines/>
      <w:spacing w:before="120" w:after="40" w:line="280" w:lineRule="exact"/>
      <w:outlineLvl w:val="2"/>
    </w:pPr>
    <w:rPr>
      <w:rFonts w:eastAsiaTheme="majorEastAsia" w:cstheme="minorHAnsi"/>
      <w:b/>
      <w:color w:val="092319" w:themeColor="accent1" w:themeShade="7F"/>
      <w:sz w:val="22"/>
      <w:szCs w:val="24"/>
    </w:rPr>
  </w:style>
  <w:style w:type="paragraph" w:styleId="Heading4">
    <w:name w:val="heading 4"/>
    <w:basedOn w:val="Normal"/>
    <w:next w:val="Normal"/>
    <w:link w:val="Heading4Char"/>
    <w:uiPriority w:val="9"/>
    <w:unhideWhenUsed/>
    <w:qFormat/>
    <w:rsid w:val="009571FE"/>
    <w:pPr>
      <w:keepNext/>
      <w:keepLines/>
      <w:spacing w:before="40" w:after="0"/>
      <w:outlineLvl w:val="3"/>
    </w:pPr>
    <w:rPr>
      <w:rFonts w:eastAsiaTheme="majorEastAsia" w:cstheme="minorHAnsi"/>
      <w:b/>
      <w:iCs/>
      <w:color w:val="393636" w:themeColor="accent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35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3523"/>
    <w:rPr>
      <w:sz w:val="18"/>
    </w:rPr>
  </w:style>
  <w:style w:type="paragraph" w:styleId="Footer">
    <w:name w:val="footer"/>
    <w:basedOn w:val="Normal"/>
    <w:link w:val="FooterChar"/>
    <w:uiPriority w:val="99"/>
    <w:unhideWhenUsed/>
    <w:rsid w:val="006F7D9C"/>
    <w:pPr>
      <w:tabs>
        <w:tab w:val="center" w:pos="4513"/>
        <w:tab w:val="right" w:pos="9026"/>
      </w:tabs>
      <w:spacing w:after="0" w:line="240" w:lineRule="auto"/>
      <w:jc w:val="center"/>
    </w:pPr>
    <w:rPr>
      <w:b/>
    </w:rPr>
  </w:style>
  <w:style w:type="character" w:customStyle="1" w:styleId="FooterChar">
    <w:name w:val="Footer Char"/>
    <w:basedOn w:val="DefaultParagraphFont"/>
    <w:link w:val="Footer"/>
    <w:uiPriority w:val="99"/>
    <w:rsid w:val="006F7D9C"/>
    <w:rPr>
      <w:b/>
      <w:sz w:val="18"/>
    </w:rPr>
  </w:style>
  <w:style w:type="paragraph" w:customStyle="1" w:styleId="Referencenumber">
    <w:name w:val="Reference number"/>
    <w:basedOn w:val="Normal"/>
    <w:qFormat/>
    <w:rsid w:val="003D3BD5"/>
    <w:pPr>
      <w:spacing w:after="120"/>
      <w:jc w:val="right"/>
    </w:pPr>
    <w:rPr>
      <w:b/>
      <w:lang w:val="en-US"/>
    </w:rPr>
  </w:style>
  <w:style w:type="character" w:customStyle="1" w:styleId="Heading1Char">
    <w:name w:val="Heading 1 Char"/>
    <w:basedOn w:val="DefaultParagraphFont"/>
    <w:link w:val="Heading1"/>
    <w:uiPriority w:val="9"/>
    <w:rsid w:val="0059694C"/>
    <w:rPr>
      <w:rFonts w:eastAsiaTheme="majorEastAsia" w:cstheme="minorHAnsi"/>
      <w:b/>
      <w:color w:val="0D3426" w:themeColor="accent1" w:themeShade="BF"/>
      <w:sz w:val="48"/>
      <w:szCs w:val="32"/>
    </w:rPr>
  </w:style>
  <w:style w:type="character" w:customStyle="1" w:styleId="Heading2Char">
    <w:name w:val="Heading 2 Char"/>
    <w:basedOn w:val="DefaultParagraphFont"/>
    <w:link w:val="Heading2"/>
    <w:uiPriority w:val="9"/>
    <w:rsid w:val="00D223E9"/>
    <w:rPr>
      <w:rFonts w:eastAsiaTheme="majorEastAsia" w:cstheme="minorHAnsi"/>
      <w:b/>
      <w:color w:val="0D3426" w:themeColor="accent1" w:themeShade="BF"/>
      <w:sz w:val="30"/>
      <w:szCs w:val="30"/>
    </w:rPr>
  </w:style>
  <w:style w:type="paragraph" w:styleId="ListParagraph">
    <w:name w:val="List Paragraph"/>
    <w:basedOn w:val="Normal"/>
    <w:uiPriority w:val="34"/>
    <w:qFormat/>
    <w:rsid w:val="00D223E9"/>
    <w:pPr>
      <w:ind w:left="720"/>
      <w:contextualSpacing/>
    </w:pPr>
  </w:style>
  <w:style w:type="paragraph" w:customStyle="1" w:styleId="Bulletlist">
    <w:name w:val="Bullet list"/>
    <w:basedOn w:val="ListParagraph"/>
    <w:qFormat/>
    <w:rsid w:val="00D223E9"/>
    <w:pPr>
      <w:numPr>
        <w:numId w:val="1"/>
      </w:numPr>
      <w:spacing w:after="180" w:line="280" w:lineRule="exact"/>
      <w:ind w:left="426" w:hanging="142"/>
    </w:pPr>
  </w:style>
  <w:style w:type="character" w:customStyle="1" w:styleId="Heading3Char">
    <w:name w:val="Heading 3 Char"/>
    <w:basedOn w:val="DefaultParagraphFont"/>
    <w:link w:val="Heading3"/>
    <w:uiPriority w:val="9"/>
    <w:rsid w:val="00D223E9"/>
    <w:rPr>
      <w:rFonts w:eastAsiaTheme="majorEastAsia" w:cstheme="minorHAnsi"/>
      <w:b/>
      <w:color w:val="092319" w:themeColor="accent1" w:themeShade="7F"/>
      <w:szCs w:val="24"/>
    </w:rPr>
  </w:style>
  <w:style w:type="paragraph" w:customStyle="1" w:styleId="Normalitalics">
    <w:name w:val="Normal italics"/>
    <w:basedOn w:val="Normal"/>
    <w:qFormat/>
    <w:rsid w:val="00D223E9"/>
    <w:rPr>
      <w:i/>
    </w:rPr>
  </w:style>
  <w:style w:type="character" w:customStyle="1" w:styleId="Heading4Char">
    <w:name w:val="Heading 4 Char"/>
    <w:basedOn w:val="DefaultParagraphFont"/>
    <w:link w:val="Heading4"/>
    <w:uiPriority w:val="9"/>
    <w:rsid w:val="009571FE"/>
    <w:rPr>
      <w:rFonts w:eastAsiaTheme="majorEastAsia" w:cstheme="minorHAnsi"/>
      <w:b/>
      <w:iCs/>
      <w:color w:val="393636" w:themeColor="accent6"/>
      <w:sz w:val="18"/>
    </w:rPr>
  </w:style>
  <w:style w:type="paragraph" w:customStyle="1" w:styleId="Instructions">
    <w:name w:val="Instructions"/>
    <w:basedOn w:val="Normal"/>
    <w:qFormat/>
    <w:rsid w:val="000143C9"/>
    <w:rPr>
      <w:i/>
      <w:color w:val="0000FF"/>
    </w:rPr>
  </w:style>
  <w:style w:type="paragraph" w:styleId="BalloonText">
    <w:name w:val="Balloon Text"/>
    <w:basedOn w:val="Normal"/>
    <w:link w:val="BalloonTextChar"/>
    <w:uiPriority w:val="99"/>
    <w:semiHidden/>
    <w:unhideWhenUsed/>
    <w:rsid w:val="0059694C"/>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9694C"/>
    <w:rPr>
      <w:rFonts w:ascii="Segoe UI" w:hAnsi="Segoe UI" w:cs="Segoe UI"/>
      <w:sz w:val="18"/>
      <w:szCs w:val="18"/>
    </w:rPr>
  </w:style>
  <w:style w:type="paragraph" w:customStyle="1" w:styleId="Whitetitle">
    <w:name w:val="White title"/>
    <w:basedOn w:val="Heading1"/>
    <w:qFormat/>
    <w:rsid w:val="00C11DD0"/>
    <w:pPr>
      <w:spacing w:after="0" w:line="560" w:lineRule="exact"/>
    </w:pPr>
    <w:rPr>
      <w:color w:val="FFFFFF" w:themeColor="background1"/>
      <w:spacing w:val="-20"/>
    </w:rPr>
  </w:style>
  <w:style w:type="paragraph" w:customStyle="1" w:styleId="Whitetitlesubheading">
    <w:name w:val="White title subheading"/>
    <w:basedOn w:val="Heading2"/>
    <w:qFormat/>
    <w:rsid w:val="0059694C"/>
    <w:pPr>
      <w:spacing w:before="40" w:after="480" w:line="440" w:lineRule="exact"/>
    </w:pPr>
    <w:rPr>
      <w:b w:val="0"/>
      <w:color w:val="FFFFFF" w:themeColor="background1"/>
    </w:rPr>
  </w:style>
  <w:style w:type="character" w:styleId="Hyperlink">
    <w:name w:val="Hyperlink"/>
    <w:basedOn w:val="DefaultParagraphFont"/>
    <w:uiPriority w:val="99"/>
    <w:unhideWhenUsed/>
    <w:rsid w:val="0022714A"/>
    <w:rPr>
      <w:color w:val="0563C1" w:themeColor="hyperlink"/>
      <w:u w:val="single"/>
    </w:rPr>
  </w:style>
  <w:style w:type="character" w:styleId="UnresolvedMention">
    <w:name w:val="Unresolved Mention"/>
    <w:basedOn w:val="DefaultParagraphFont"/>
    <w:uiPriority w:val="99"/>
    <w:semiHidden/>
    <w:unhideWhenUsed/>
    <w:rsid w:val="002271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sa.gov.au/lz?path=%2FC%2FA%2FPLANNING%20DEVELOPMENT%20AND%20INFRASTRUCTURE%20ACT%202016"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legislation.sa.gov.au/lz?path=%2FC%2FA%2FHERITAGE%20PLACES%20ACT%201993" TargetMode="External"/><Relationship Id="rId17" Type="http://schemas.openxmlformats.org/officeDocument/2006/relationships/hyperlink" Target="https://www.legislation.sa.gov.au/lz?path=%2FC%2FA%2FHERITAGE%20PLACES%20ACT%201993" TargetMode="External"/><Relationship Id="rId2" Type="http://schemas.openxmlformats.org/officeDocument/2006/relationships/customXml" Target="../customXml/item2.xml"/><Relationship Id="rId16" Type="http://schemas.openxmlformats.org/officeDocument/2006/relationships/hyperlink" Target="https://www.legislation.sa.gov.au/lz?path=%2FC%2FA%2FPLANNING%20DEVELOPMENT%20AND%20INFRASTRUCTURE%20ACT%2020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sa.gov.au/lz?path=%2FC%2FA%2FHERITAGE%20PLACES%20ACT%201993" TargetMode="External"/><Relationship Id="rId5" Type="http://schemas.openxmlformats.org/officeDocument/2006/relationships/numbering" Target="numbering.xml"/><Relationship Id="rId15" Type="http://schemas.openxmlformats.org/officeDocument/2006/relationships/hyperlink" Target="https://www.legislation.sa.gov.au/lz?path=%2FC%2FR%2FPLANNING%20DEVELOPMENT%20AND%20INFRASTRUCTURE%20(GENERAL)%20REGULATIONS%202017"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sa.gov.au/lz?path=%2FC%2FA%2FPLANNING%20DEVELOPMENT%20AND%20INFRASTRUCTURE%20ACT%202016"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DEW external theme and fonts">
  <a:themeElements>
    <a:clrScheme name="DEW external templates">
      <a:dk1>
        <a:sysClr val="windowText" lastClr="000000"/>
      </a:dk1>
      <a:lt1>
        <a:sysClr val="window" lastClr="FFFFFF"/>
      </a:lt1>
      <a:dk2>
        <a:srgbClr val="124734"/>
      </a:dk2>
      <a:lt2>
        <a:srgbClr val="D3D2D2"/>
      </a:lt2>
      <a:accent1>
        <a:srgbClr val="124734"/>
      </a:accent1>
      <a:accent2>
        <a:srgbClr val="295948"/>
      </a:accent2>
      <a:accent3>
        <a:srgbClr val="393636"/>
      </a:accent3>
      <a:accent4>
        <a:srgbClr val="008DA8"/>
      </a:accent4>
      <a:accent5>
        <a:srgbClr val="38A28F"/>
      </a:accent5>
      <a:accent6>
        <a:srgbClr val="393636"/>
      </a:accent6>
      <a:hlink>
        <a:srgbClr val="0563C1"/>
      </a:hlink>
      <a:folHlink>
        <a:srgbClr val="0563C1"/>
      </a:folHlink>
    </a:clrScheme>
    <a:fontScheme name="DEW font style">
      <a:majorFont>
        <a:latin typeface="Segoe UI Black"/>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81A7BBCBAA20D459F6389D70240C8BF" ma:contentTypeVersion="1" ma:contentTypeDescription="Create a new document." ma:contentTypeScope="" ma:versionID="55028b1a7c0b8081737e7bda82ec776f">
  <xsd:schema xmlns:xsd="http://www.w3.org/2001/XMLSchema" xmlns:xs="http://www.w3.org/2001/XMLSchema" xmlns:p="http://schemas.microsoft.com/office/2006/metadata/properties" xmlns:ns2="c38d4542-4c48-4028-81b6-c36e13971a12" targetNamespace="http://schemas.microsoft.com/office/2006/metadata/properties" ma:root="true" ma:fieldsID="ed3c59123bc4d0c28e8c92c01d09d17d" ns2:_="">
    <xsd:import namespace="c38d4542-4c48-4028-81b6-c36e13971a12"/>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d4542-4c48-4028-81b6-c36e13971a1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9DBAEE-CF91-47CD-BD06-B60766A62F68}">
  <ds:schemaRefs>
    <ds:schemaRef ds:uri="http://schemas.microsoft.com/sharepoint/events"/>
  </ds:schemaRefs>
</ds:datastoreItem>
</file>

<file path=customXml/itemProps2.xml><?xml version="1.0" encoding="utf-8"?>
<ds:datastoreItem xmlns:ds="http://schemas.openxmlformats.org/officeDocument/2006/customXml" ds:itemID="{EDF8CA4F-3498-483A-B5DB-7DD0805D55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51550E1-F193-4061-B04E-6E7A6540396B}">
  <ds:schemaRefs>
    <ds:schemaRef ds:uri="http://schemas.microsoft.com/sharepoint/v3/contenttype/forms"/>
  </ds:schemaRefs>
</ds:datastoreItem>
</file>

<file path=customXml/itemProps4.xml><?xml version="1.0" encoding="utf-8"?>
<ds:datastoreItem xmlns:ds="http://schemas.openxmlformats.org/officeDocument/2006/customXml" ds:itemID="{1028B777-01D6-4BD1-824E-0D0C729771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8d4542-4c48-4028-81b6-c36e13971a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650</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DEWNR</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Wilson</dc:creator>
  <cp:keywords/>
  <dc:description/>
  <cp:lastModifiedBy>Wilson, Justine (DEW)</cp:lastModifiedBy>
  <cp:revision>3</cp:revision>
  <cp:lastPrinted>2019-06-28T02:05:00Z</cp:lastPrinted>
  <dcterms:created xsi:type="dcterms:W3CDTF">2024-07-02T22:15:00Z</dcterms:created>
  <dcterms:modified xsi:type="dcterms:W3CDTF">2024-07-03T02:23:00Z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0x010100D81A7BBCBAA20D459F6389D70240C8BF</vt:lpwstr>
  </property>
</Properties>
</file>